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rFonts w:hint="eastAsia" w:eastAsia="宋体"/>
          <w:lang w:eastAsia="zh-CN"/>
        </w:rPr>
      </w:pPr>
      <w:r>
        <w:rPr>
          <w:b/>
          <w:sz w:val="32"/>
        </w:rPr>
        <w:t>数学课程中适合用信息化手段解决教学问题的课题</w:t>
      </w:r>
      <w:r>
        <w:rPr>
          <w:rFonts w:hint="eastAsia" w:eastAsia="宋体"/>
          <w:b/>
          <w:sz w:val="32"/>
          <w:lang w:eastAsia="zh-CN"/>
        </w:rPr>
        <w:t>调查报告</w:t>
      </w:r>
      <w:bookmarkStart w:id="0" w:name="_GoBack"/>
      <w:bookmarkEnd w:id="0"/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你认为适合用信息化教学的章节有哪些？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13238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7838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A．集合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38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5" o:spt="75" type="#_x0000_t75" style="height:9pt;width:11.2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6" o:spt="75" type="#_x0000_t75" style="height:9pt;width:95.2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11.11%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B．不等式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838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o:spt="75" type="#_x0000_t75" style="height:9pt;width:35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8" o:spt="75" type="#_x0000_t75" style="height:9pt;width:71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33.33%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C．函数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7838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o:spt="75" type="#_x0000_t75" style="height:9pt;width:70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0" o:spt="75" type="#_x0000_t75" style="height:9pt;width:36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66.67%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D．指数函数与对数函数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7838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1" o:spt="75" type="#_x0000_t75" style="height:9pt;width:82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2" o:spt="75" type="#_x0000_t75" style="height:9pt;width:24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t>77.78%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E．三角函数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7838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o:spt="75" type="#_x0000_t75" style="height:9pt;width:94.5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4" o:spt="75" type="#_x0000_t75" style="height:9pt;width:12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t>88.89%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F．数列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838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5" o:spt="75" type="#_x0000_t75" style="height:9pt;width:35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6" o:spt="75" type="#_x0000_t75" style="height:9pt;width:71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33.33%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G．平面向量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838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7" o:spt="75" type="#_x0000_t75" style="height:9pt;width:47.2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8" o:spt="75" type="#_x0000_t75" style="height:9pt;width:59.2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t>44.44%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H．直线与圆的方程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7838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9" o:spt="75" type="#_x0000_t75" style="height:9pt;width:70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0" o:spt="75" type="#_x0000_t75" style="height:9pt;width:36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66.67%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I．立体几何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7838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1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>100%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J．概率统计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38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2" o:spt="75" type="#_x0000_t75" style="height:9pt;width:23.2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3" o:spt="75" type="#_x0000_t75" style="height:9pt;width:83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>22.22%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K．逻辑代数初步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838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4" o:spt="75" type="#_x0000_t75" style="height:9pt;width:47.2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5" o:spt="75" type="#_x0000_t75" style="height:9pt;width:59.2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t>44.44%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L．算法与程序框图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7838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6" o:spt="75" type="#_x0000_t75" style="height:9pt;width:82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7" o:spt="75" type="#_x0000_t75" style="height:9pt;width:24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t>77.78%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M．数据表格信息处理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838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8" o:spt="75" type="#_x0000_t75" style="height:9pt;width:47.2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9" o:spt="75" type="#_x0000_t75" style="height:9pt;width:59.2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t>44.44%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N．编制计划的原理与方法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838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0" o:spt="75" type="#_x0000_t75" style="height:9pt;width:35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1" o:spt="75" type="#_x0000_t75" style="height:9pt;width:71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33.33%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O．三角计算及其应用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838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2" o:spt="75" type="#_x0000_t75" style="height:9pt;width:47.2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3" o:spt="75" type="#_x0000_t75" style="height:9pt;width:59.2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t>44.44%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P．坐标变换与参数方程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7838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4" o:spt="75" type="#_x0000_t75" style="height:9pt;width:70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5" o:spt="75" type="#_x0000_t75" style="height:9pt;width:36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66.67%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Q．复数及其应用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838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6" o:spt="75" type="#_x0000_t75" style="height:9pt;width:35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7" o:spt="75" type="#_x0000_t75" style="height:9pt;width:71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33.33%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R．线性规划初步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7838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8" o:spt="75" type="#_x0000_t75" style="height:9pt;width:70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9" o:spt="75" type="#_x0000_t75" style="height:9pt;width:36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66.67%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7838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rFonts w:hint="eastAsia" w:eastAsia="宋体"/>
          <w:lang w:eastAsia="zh-CN"/>
        </w:rPr>
        <w:t>调查总结：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此次调查，从教师群体中获取了不少教学现状；应该说较为成功。调查对象能够对问题认真思考之后，如实填写自己的意见和看法。调查结果主要反应了以下问题：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较为适合信息化教学的章节有：指数函数与对数函数，三角函数，直线与圆的方程，立体几何，算法与程序框图，坐标变换与参数方程，线性规划初步。从中可以看出，函数涉及到图像，而图像用几何画板等工具较为直观，学生看得更为清晰，明确，从而教学的效率更高。立体几何最高，由于中职阶段的学生对于三维立体图形的想象能力有限，所以若能呈现三维立体图形在他们面前，将会对教学的开展大有益处。算法与程序框图，在计算机专业学生的专业课中其作用尤为明显，若能结合计算机专业课进行教学，使得其作用之处更为明显，学生也会更加重视这个章节。</w:t>
      </w:r>
    </w:p>
    <w:p/>
    <w:sectPr>
      <w:pgSz w:w="16838" w:h="23811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DFD4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2019-01-14T02:37:18Z</dcterms:created>
  <dc:creator>Administrator</dc:creator>
  <cp:lastModifiedBy>Administrator</cp:lastModifiedBy>
  <dcterms:modified xsi:type="dcterms:W3CDTF">2019-01-14T02:38:39Z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