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CD1" w:rsidRDefault="008D7BE2" w:rsidP="007977C5">
      <w:pPr>
        <w:spacing w:line="520" w:lineRule="exact"/>
        <w:jc w:val="center"/>
        <w:rPr>
          <w:rFonts w:ascii="黑体" w:eastAsia="黑体" w:hAnsi="宋体"/>
          <w:b/>
          <w:sz w:val="44"/>
          <w:szCs w:val="44"/>
        </w:rPr>
      </w:pPr>
      <w:r w:rsidRPr="00A77978">
        <w:rPr>
          <w:rFonts w:ascii="黑体" w:eastAsia="黑体" w:hAnsi="宋体" w:hint="eastAsia"/>
          <w:b/>
          <w:sz w:val="44"/>
          <w:szCs w:val="44"/>
        </w:rPr>
        <w:t xml:space="preserve"> </w:t>
      </w:r>
      <w:r w:rsidR="008F4CD1" w:rsidRPr="00A77978">
        <w:rPr>
          <w:rFonts w:ascii="黑体" w:eastAsia="黑体" w:hAnsi="宋体" w:hint="eastAsia"/>
          <w:b/>
          <w:sz w:val="44"/>
          <w:szCs w:val="44"/>
        </w:rPr>
        <w:t>“皮格马利翁”效应在中职</w:t>
      </w:r>
      <w:r w:rsidR="00F82A46">
        <w:rPr>
          <w:rFonts w:ascii="黑体" w:eastAsia="黑体" w:hAnsi="宋体" w:hint="eastAsia"/>
          <w:b/>
          <w:sz w:val="44"/>
          <w:szCs w:val="44"/>
        </w:rPr>
        <w:t>对口单招</w:t>
      </w:r>
      <w:r w:rsidR="008F4CD1" w:rsidRPr="00A77978">
        <w:rPr>
          <w:rFonts w:ascii="黑体" w:eastAsia="黑体" w:hAnsi="宋体" w:hint="eastAsia"/>
          <w:b/>
          <w:sz w:val="44"/>
          <w:szCs w:val="44"/>
        </w:rPr>
        <w:t>英语听说</w:t>
      </w:r>
      <w:r w:rsidR="008256DA">
        <w:rPr>
          <w:rFonts w:ascii="黑体" w:eastAsia="黑体" w:hAnsi="宋体" w:hint="eastAsia"/>
          <w:b/>
          <w:sz w:val="44"/>
          <w:szCs w:val="44"/>
        </w:rPr>
        <w:t>教学</w:t>
      </w:r>
      <w:r w:rsidR="008F4CD1" w:rsidRPr="00A77978">
        <w:rPr>
          <w:rFonts w:ascii="黑体" w:eastAsia="黑体" w:hAnsi="宋体" w:hint="eastAsia"/>
          <w:b/>
          <w:sz w:val="44"/>
          <w:szCs w:val="44"/>
        </w:rPr>
        <w:t>中的应用研究</w:t>
      </w:r>
    </w:p>
    <w:p w:rsidR="00A77978" w:rsidRPr="00A77978" w:rsidRDefault="00A77978" w:rsidP="007977C5">
      <w:pPr>
        <w:spacing w:line="520" w:lineRule="exact"/>
        <w:jc w:val="center"/>
        <w:rPr>
          <w:rFonts w:ascii="楷体_GB2312" w:eastAsia="楷体_GB2312" w:hAnsi="宋体"/>
          <w:sz w:val="32"/>
          <w:szCs w:val="44"/>
        </w:rPr>
      </w:pPr>
      <w:r w:rsidRPr="00A77978">
        <w:rPr>
          <w:rFonts w:ascii="楷体_GB2312" w:eastAsia="楷体_GB2312" w:hAnsi="宋体" w:hint="eastAsia"/>
          <w:sz w:val="32"/>
          <w:szCs w:val="44"/>
        </w:rPr>
        <w:t>课题主持人：黄</w:t>
      </w:r>
      <w:proofErr w:type="gramStart"/>
      <w:r w:rsidRPr="00A77978">
        <w:rPr>
          <w:rFonts w:ascii="楷体_GB2312" w:eastAsia="楷体_GB2312" w:hAnsi="宋体" w:hint="eastAsia"/>
          <w:sz w:val="32"/>
          <w:szCs w:val="44"/>
        </w:rPr>
        <w:t>桠艽</w:t>
      </w:r>
      <w:proofErr w:type="gramEnd"/>
    </w:p>
    <w:p w:rsidR="000446D8" w:rsidRPr="00A77978" w:rsidRDefault="00637DA4" w:rsidP="007977C5">
      <w:pPr>
        <w:spacing w:line="520" w:lineRule="exact"/>
        <w:jc w:val="left"/>
        <w:rPr>
          <w:rFonts w:ascii="宋体" w:hAnsi="宋体" w:cs="宋体"/>
          <w:b/>
          <w:sz w:val="30"/>
          <w:szCs w:val="30"/>
        </w:rPr>
      </w:pPr>
      <w:r w:rsidRPr="00A77978">
        <w:rPr>
          <w:rFonts w:ascii="宋体" w:hAnsi="宋体" w:cs="宋体" w:hint="eastAsia"/>
          <w:b/>
          <w:sz w:val="30"/>
          <w:szCs w:val="30"/>
        </w:rPr>
        <w:t>（一）研究背景</w:t>
      </w:r>
    </w:p>
    <w:p w:rsidR="000446D8" w:rsidRDefault="00637DA4" w:rsidP="007977C5">
      <w:pPr>
        <w:widowControl/>
        <w:shd w:val="clear" w:color="auto" w:fill="FFFFFF"/>
        <w:spacing w:line="520" w:lineRule="exact"/>
        <w:ind w:firstLineChars="200" w:firstLine="562"/>
        <w:jc w:val="left"/>
        <w:rPr>
          <w:rFonts w:ascii="宋体" w:hAnsi="宋体" w:cs="宋体"/>
          <w:b/>
          <w:bCs/>
          <w:color w:val="000000"/>
          <w:kern w:val="0"/>
          <w:sz w:val="28"/>
          <w:szCs w:val="28"/>
        </w:rPr>
      </w:pPr>
      <w:r>
        <w:rPr>
          <w:rFonts w:ascii="宋体" w:hAnsi="宋体" w:cs="宋体" w:hint="eastAsia"/>
          <w:b/>
          <w:bCs/>
          <w:color w:val="000000"/>
          <w:kern w:val="0"/>
          <w:sz w:val="28"/>
          <w:szCs w:val="28"/>
        </w:rPr>
        <w:t>1、适应《中等职业学校英语课程标准》的需要</w:t>
      </w:r>
    </w:p>
    <w:p w:rsidR="000446D8" w:rsidRPr="00A77978" w:rsidRDefault="00637DA4" w:rsidP="007977C5">
      <w:pPr>
        <w:spacing w:line="520" w:lineRule="exact"/>
        <w:ind w:firstLineChars="200" w:firstLine="480"/>
        <w:jc w:val="left"/>
        <w:rPr>
          <w:rFonts w:ascii="宋体" w:hAnsi="宋体" w:cs="宋体"/>
          <w:sz w:val="24"/>
        </w:rPr>
      </w:pPr>
      <w:r w:rsidRPr="00A77978">
        <w:rPr>
          <w:rFonts w:ascii="宋体" w:hAnsi="宋体" w:cs="宋体" w:hint="eastAsia"/>
          <w:sz w:val="24"/>
        </w:rPr>
        <w:t>中等职业学校课程标准强调学生的全面发展，注重提高学生的综合语言能力，如语言知识、语言技能、学习策略以及文化意识等。要求教学过程中以学习者为中心，提高学生自主学习的能力。传统教育则是强调以教师为中心的应试教育，主要通过终结性测试来考察学生的学习情况，而忽视了其他方面，所以它不能满足课程标准的要求。在传统教育中，学生们没有选择他们想要学习事物的自由，所以容易对所学知识失去兴趣，产生厌烦心理。因此，传统的教育观念可能会阻碍学习者自主性的发展。</w:t>
      </w:r>
    </w:p>
    <w:p w:rsidR="000446D8" w:rsidRPr="00A77978" w:rsidRDefault="00637DA4" w:rsidP="007977C5">
      <w:pPr>
        <w:spacing w:line="520" w:lineRule="exact"/>
        <w:ind w:firstLineChars="200" w:firstLine="480"/>
        <w:jc w:val="left"/>
        <w:rPr>
          <w:rFonts w:ascii="宋体" w:hAnsi="宋体" w:cs="宋体"/>
          <w:color w:val="333333"/>
          <w:sz w:val="24"/>
        </w:rPr>
      </w:pPr>
      <w:r w:rsidRPr="00A77978">
        <w:rPr>
          <w:rFonts w:ascii="宋体" w:hAnsi="宋体" w:cs="宋体" w:hint="eastAsia"/>
          <w:sz w:val="24"/>
        </w:rPr>
        <w:t>中等职业学校课程标准指出：</w:t>
      </w:r>
      <w:r w:rsidRPr="00A77978">
        <w:rPr>
          <w:rFonts w:ascii="宋体" w:hAnsi="宋体" w:cs="宋体" w:hint="eastAsia"/>
          <w:color w:val="333333"/>
          <w:sz w:val="24"/>
        </w:rPr>
        <w:t>中等职业教育英语课程是中等职业学校各专业学生必修的文化基础课程。随着社会生活和经济活动的日益全球化，中等职业学校的学生如能掌握一定的英语基础知识和基本技能，能更好地适应国际劳动力市场的需要。同时，学生学习英语可以开阔视野、发展个性，形成良好的情感态度和健全的心理智能，进一步提高人文素养和职业意识，为今后的职业发展和终身学习奠定</w:t>
      </w:r>
      <w:r w:rsidRPr="00A77978">
        <w:rPr>
          <w:rFonts w:ascii="宋体" w:hAnsi="宋体" w:cs="宋体" w:hint="eastAsia"/>
          <w:sz w:val="24"/>
        </w:rPr>
        <w:t>良好</w:t>
      </w:r>
      <w:r w:rsidRPr="00A77978">
        <w:rPr>
          <w:rFonts w:ascii="宋体" w:hAnsi="宋体" w:cs="宋体" w:hint="eastAsia"/>
          <w:color w:val="333333"/>
          <w:sz w:val="24"/>
        </w:rPr>
        <w:t>的基础。</w:t>
      </w:r>
    </w:p>
    <w:p w:rsidR="000446D8" w:rsidRPr="00A77978" w:rsidRDefault="00637DA4" w:rsidP="007977C5">
      <w:pPr>
        <w:spacing w:line="520" w:lineRule="exact"/>
        <w:ind w:firstLineChars="200" w:firstLine="480"/>
        <w:jc w:val="left"/>
        <w:rPr>
          <w:rFonts w:ascii="宋体" w:hAnsi="宋体" w:cs="宋体"/>
          <w:sz w:val="24"/>
        </w:rPr>
      </w:pPr>
      <w:r w:rsidRPr="00A77978">
        <w:rPr>
          <w:rFonts w:ascii="宋体" w:hAnsi="宋体" w:cs="宋体" w:hint="eastAsia"/>
          <w:sz w:val="24"/>
        </w:rPr>
        <w:t>作为语言学习的主要方式，听和说在听、说、读、写四项技能中占有重要的地位。《中等职业学校课程标准》对其有进一步的相关规定（1）听：能根据简单课堂教学用语做出反应；能利用关键词捕捉简单信息（如姓名、电话号码、职业等）；能听懂日常生活中的简单会话和职业场景中的简单指令。（2）说：能给出简单的要求和指令；能借助肢体语言进行日常会话；能简单描述个人和日常生活情况；</w:t>
      </w:r>
    </w:p>
    <w:p w:rsidR="000446D8" w:rsidRPr="00A77978" w:rsidRDefault="00637DA4" w:rsidP="007977C5">
      <w:pPr>
        <w:spacing w:line="520" w:lineRule="exact"/>
        <w:ind w:firstLineChars="200" w:firstLine="480"/>
        <w:jc w:val="left"/>
        <w:rPr>
          <w:rFonts w:ascii="宋体" w:hAnsi="宋体" w:cs="宋体"/>
          <w:sz w:val="24"/>
        </w:rPr>
      </w:pPr>
      <w:r w:rsidRPr="00A77978">
        <w:rPr>
          <w:rFonts w:ascii="宋体" w:hAnsi="宋体" w:cs="宋体" w:hint="eastAsia"/>
          <w:sz w:val="24"/>
        </w:rPr>
        <w:t>对于中职学生来说，只有通过大量的听说实践才能提高听说能力。所以英语教学必须增加语言输入量，使学生获得充分的语言实践机会，形成系统的听说教学策略，掌握综合运用语言的</w:t>
      </w:r>
      <w:proofErr w:type="gramStart"/>
      <w:r w:rsidRPr="00A77978">
        <w:rPr>
          <w:rFonts w:ascii="宋体" w:hAnsi="宋体" w:cs="宋体" w:hint="eastAsia"/>
          <w:sz w:val="24"/>
        </w:rPr>
        <w:t>的</w:t>
      </w:r>
      <w:proofErr w:type="gramEnd"/>
      <w:r w:rsidRPr="00A77978">
        <w:rPr>
          <w:rFonts w:ascii="宋体" w:hAnsi="宋体" w:cs="宋体" w:hint="eastAsia"/>
          <w:sz w:val="24"/>
        </w:rPr>
        <w:t>能力，体验学习英语的快乐，为终身学习打下坚实的基础。</w:t>
      </w:r>
    </w:p>
    <w:p w:rsidR="000446D8" w:rsidRDefault="00637DA4" w:rsidP="007977C5">
      <w:pPr>
        <w:widowControl/>
        <w:shd w:val="clear" w:color="auto" w:fill="FFFFFF"/>
        <w:spacing w:line="520" w:lineRule="exact"/>
        <w:ind w:firstLineChars="200" w:firstLine="562"/>
        <w:jc w:val="left"/>
        <w:rPr>
          <w:rFonts w:ascii="宋体" w:hAnsi="宋体" w:cs="宋体"/>
          <w:b/>
          <w:bCs/>
          <w:sz w:val="28"/>
          <w:szCs w:val="28"/>
        </w:rPr>
      </w:pPr>
      <w:r>
        <w:rPr>
          <w:rFonts w:ascii="宋体" w:hAnsi="宋体" w:cs="宋体" w:hint="eastAsia"/>
          <w:b/>
          <w:bCs/>
          <w:color w:val="000000"/>
          <w:kern w:val="0"/>
          <w:sz w:val="28"/>
          <w:szCs w:val="28"/>
        </w:rPr>
        <w:t>2、英语听说课教学中存在的问题</w:t>
      </w:r>
    </w:p>
    <w:p w:rsidR="000446D8" w:rsidRPr="00A77978" w:rsidRDefault="00637DA4" w:rsidP="007977C5">
      <w:pPr>
        <w:spacing w:line="520" w:lineRule="exact"/>
        <w:ind w:firstLineChars="200" w:firstLine="480"/>
        <w:jc w:val="left"/>
        <w:rPr>
          <w:rFonts w:ascii="宋体" w:hAnsi="宋体" w:cs="宋体"/>
          <w:sz w:val="24"/>
          <w:szCs w:val="28"/>
        </w:rPr>
      </w:pPr>
      <w:r w:rsidRPr="00A77978">
        <w:rPr>
          <w:rFonts w:ascii="宋体" w:hAnsi="宋体" w:cs="宋体" w:hint="eastAsia"/>
          <w:sz w:val="24"/>
          <w:szCs w:val="28"/>
        </w:rPr>
        <w:t>中等职业学校的英语教学一直面临着许多问题。许多学生在英语教学过程中表现</w:t>
      </w:r>
      <w:r w:rsidRPr="00A77978">
        <w:rPr>
          <w:rFonts w:ascii="宋体" w:hAnsi="宋体" w:cs="宋体" w:hint="eastAsia"/>
          <w:sz w:val="24"/>
          <w:szCs w:val="28"/>
        </w:rPr>
        <w:lastRenderedPageBreak/>
        <w:t>出难以适应的情况。究其原因，并不是智力不够，而是动力不足。对此，将皮格马利翁效应运用到中职英语中，不但有利于明确学习目标，还有利于学生自信心的培养。</w:t>
      </w:r>
    </w:p>
    <w:p w:rsidR="000446D8" w:rsidRPr="00A77978" w:rsidRDefault="00637DA4" w:rsidP="007977C5">
      <w:pPr>
        <w:spacing w:line="520" w:lineRule="exact"/>
        <w:ind w:firstLineChars="200" w:firstLine="482"/>
        <w:jc w:val="left"/>
        <w:rPr>
          <w:rFonts w:ascii="宋体" w:hAnsi="宋体" w:cs="宋体"/>
          <w:sz w:val="24"/>
          <w:szCs w:val="28"/>
        </w:rPr>
      </w:pPr>
      <w:r w:rsidRPr="00A77978">
        <w:rPr>
          <w:rFonts w:ascii="宋体" w:hAnsi="宋体" w:cs="宋体" w:hint="eastAsia"/>
          <w:b/>
          <w:bCs/>
          <w:sz w:val="24"/>
          <w:szCs w:val="28"/>
        </w:rPr>
        <w:t>（1）教学方式单一，填鸭式教学</w:t>
      </w:r>
    </w:p>
    <w:p w:rsidR="000446D8" w:rsidRPr="00A77978" w:rsidRDefault="00637DA4" w:rsidP="007977C5">
      <w:pPr>
        <w:spacing w:line="520" w:lineRule="exact"/>
        <w:ind w:firstLineChars="200" w:firstLine="480"/>
        <w:jc w:val="left"/>
        <w:rPr>
          <w:rFonts w:ascii="宋体" w:hAnsi="宋体" w:cs="宋体"/>
          <w:sz w:val="24"/>
          <w:szCs w:val="28"/>
        </w:rPr>
      </w:pPr>
      <w:r w:rsidRPr="00A77978">
        <w:rPr>
          <w:rFonts w:ascii="宋体" w:hAnsi="宋体" w:cs="宋体" w:hint="eastAsia"/>
          <w:sz w:val="24"/>
          <w:szCs w:val="28"/>
        </w:rPr>
        <w:t>传统的对口单招英语教学方式简单化</w:t>
      </w:r>
      <w:proofErr w:type="gramStart"/>
      <w:r w:rsidRPr="00A77978">
        <w:rPr>
          <w:rFonts w:ascii="宋体" w:hAnsi="宋体" w:cs="宋体" w:hint="eastAsia"/>
          <w:sz w:val="24"/>
          <w:szCs w:val="28"/>
        </w:rPr>
        <w:t>一</w:t>
      </w:r>
      <w:proofErr w:type="gramEnd"/>
      <w:r w:rsidRPr="00A77978">
        <w:rPr>
          <w:rFonts w:ascii="宋体" w:hAnsi="宋体" w:cs="宋体" w:hint="eastAsia"/>
          <w:sz w:val="24"/>
          <w:szCs w:val="28"/>
        </w:rPr>
        <w:t>，以教师为中心, 以被动的填鸭式教学为主。在方法的采用上教师只注重对听说材料表层信息的讲解，忽视了语言跨文化方面的熏陶，侧重句型和单词的讲解，忽略了对语篇的整体性的理解；在听力过程中，只看重听力结果或学生选定的答案，轻视对听力活动过程的监控，忽视了学生的情感、态度、学习中存在的问题；更谈不上对教学和学生的评估。而由于教师缺乏必要的专业理论，也没有使用有效的英语教学策略对学生进行必要的指导。教师从头讲到尾，学生被动听课，不主动思考，缺少积极和谐的英语学习氛围，学生感受不到学习的乐趣。</w:t>
      </w:r>
    </w:p>
    <w:p w:rsidR="000446D8" w:rsidRPr="00A77978" w:rsidRDefault="00637DA4" w:rsidP="007977C5">
      <w:pPr>
        <w:spacing w:line="520" w:lineRule="exact"/>
        <w:ind w:firstLineChars="200" w:firstLine="482"/>
        <w:jc w:val="left"/>
        <w:rPr>
          <w:rFonts w:ascii="宋体" w:hAnsi="宋体" w:cs="宋体"/>
          <w:b/>
          <w:bCs/>
          <w:sz w:val="24"/>
          <w:szCs w:val="28"/>
        </w:rPr>
      </w:pPr>
      <w:r w:rsidRPr="00A77978">
        <w:rPr>
          <w:rFonts w:ascii="宋体" w:hAnsi="宋体" w:cs="宋体" w:hint="eastAsia"/>
          <w:b/>
          <w:bCs/>
          <w:sz w:val="24"/>
          <w:szCs w:val="28"/>
        </w:rPr>
        <w:t>（2）学生英语基础薄弱，缺乏自信心</w:t>
      </w:r>
    </w:p>
    <w:p w:rsidR="000446D8" w:rsidRPr="00A77978" w:rsidRDefault="00637DA4" w:rsidP="007977C5">
      <w:pPr>
        <w:spacing w:line="520" w:lineRule="exact"/>
        <w:ind w:firstLineChars="200" w:firstLine="480"/>
        <w:jc w:val="left"/>
        <w:rPr>
          <w:rFonts w:ascii="宋体" w:hAnsi="宋体" w:cs="宋体"/>
          <w:sz w:val="24"/>
          <w:szCs w:val="28"/>
        </w:rPr>
      </w:pPr>
      <w:r w:rsidRPr="00A77978">
        <w:rPr>
          <w:rFonts w:ascii="宋体" w:hAnsi="宋体" w:cs="宋体" w:hint="eastAsia"/>
          <w:sz w:val="24"/>
          <w:szCs w:val="28"/>
        </w:rPr>
        <w:t>对口单招班的学生可大致分为两类。一类学生初中英语基础尚可，但是中考未能正常发挥自己的正常水平，未能跨入普通高中的门槛，只能退而求其次选择中等职业学校中的对口单招班。这类学生中有部分情绪受到考试失利的影响，对学习提不起兴趣，慢慢地对自己失去了信心，产生自卑心理。有些甚至对学习产生抵触心理，自暴自弃。另一类学生初中英语成绩不理想，基础不扎实、基础薄弱，看不懂音标、读不会单词，听力、口语、阅读、写作样样不擅长。上课无法跟上老师的教学进度，学习变得非常被动。久而久之，恶性循环，学生对英语产生距离感，心理压力大，找不到正确的学习方法，丧失了学习英语的信心，甚至很可能产生厌学心理，放弃学习。</w:t>
      </w:r>
    </w:p>
    <w:p w:rsidR="000446D8" w:rsidRPr="00A77978" w:rsidRDefault="00637DA4" w:rsidP="007977C5">
      <w:pPr>
        <w:spacing w:line="520" w:lineRule="exact"/>
        <w:ind w:firstLineChars="200" w:firstLine="480"/>
        <w:jc w:val="left"/>
        <w:rPr>
          <w:rFonts w:ascii="宋体" w:hAnsi="宋体" w:cs="宋体"/>
          <w:sz w:val="24"/>
          <w:szCs w:val="28"/>
        </w:rPr>
      </w:pPr>
      <w:r w:rsidRPr="00A77978">
        <w:rPr>
          <w:rFonts w:ascii="宋体" w:hAnsi="宋体" w:cs="宋体" w:hint="eastAsia"/>
          <w:sz w:val="24"/>
          <w:szCs w:val="28"/>
        </w:rPr>
        <w:t>如何帮助学生重新找回自信，树立学习信心，让学生认真对待学习，寻找适当且高效的学习方法，养成良好的学习习惯？“皮格马利翁”效应对此能发挥一些功效，有所帮助。</w:t>
      </w:r>
    </w:p>
    <w:p w:rsidR="000446D8" w:rsidRPr="00A77978" w:rsidRDefault="00637DA4" w:rsidP="007977C5">
      <w:pPr>
        <w:spacing w:line="520" w:lineRule="exact"/>
        <w:ind w:firstLineChars="200" w:firstLine="480"/>
        <w:jc w:val="left"/>
        <w:rPr>
          <w:rFonts w:ascii="宋体" w:hAnsi="宋体" w:cs="宋体"/>
          <w:sz w:val="24"/>
          <w:szCs w:val="28"/>
        </w:rPr>
      </w:pPr>
      <w:r w:rsidRPr="00A77978">
        <w:rPr>
          <w:rFonts w:ascii="宋体" w:hAnsi="宋体" w:cs="宋体" w:hint="eastAsia"/>
          <w:sz w:val="24"/>
          <w:szCs w:val="28"/>
        </w:rPr>
        <w:t>基于上面的认识，我们决定开展本课题的研究，从对口单招班入手，在教学中充分利用“皮格马利翁”效应，采取多种活动形式，激发学生的学习兴趣，以期通过教师对听说课教学的探索，更好地、更有目的地进行教学，从而提高外语教学质量。</w:t>
      </w:r>
    </w:p>
    <w:p w:rsidR="000446D8" w:rsidRPr="00A77978" w:rsidRDefault="00637DA4" w:rsidP="007977C5">
      <w:pPr>
        <w:spacing w:line="520" w:lineRule="exact"/>
        <w:rPr>
          <w:rFonts w:ascii="宋体" w:hAnsi="宋体" w:cs="宋体"/>
          <w:b/>
          <w:sz w:val="30"/>
          <w:szCs w:val="30"/>
        </w:rPr>
      </w:pPr>
      <w:r w:rsidRPr="00A77978">
        <w:rPr>
          <w:rFonts w:ascii="宋体" w:hAnsi="宋体" w:cs="宋体" w:hint="eastAsia"/>
          <w:b/>
          <w:sz w:val="30"/>
          <w:szCs w:val="30"/>
        </w:rPr>
        <w:lastRenderedPageBreak/>
        <w:t>（二）课题的核心概念及其界定</w:t>
      </w:r>
    </w:p>
    <w:p w:rsidR="000446D8" w:rsidRPr="00A77978" w:rsidRDefault="00637DA4" w:rsidP="007977C5">
      <w:pPr>
        <w:spacing w:line="520" w:lineRule="exact"/>
        <w:ind w:firstLineChars="200" w:firstLine="562"/>
        <w:jc w:val="left"/>
        <w:rPr>
          <w:rFonts w:ascii="宋体" w:hAnsi="宋体" w:cs="宋体"/>
          <w:b/>
          <w:bCs/>
          <w:sz w:val="28"/>
          <w:szCs w:val="28"/>
        </w:rPr>
      </w:pPr>
      <w:r w:rsidRPr="00BC0EAB">
        <w:rPr>
          <w:rFonts w:ascii="宋体" w:hAnsi="宋体" w:cs="宋体" w:hint="eastAsia"/>
          <w:b/>
          <w:bCs/>
          <w:sz w:val="28"/>
          <w:szCs w:val="28"/>
        </w:rPr>
        <w:t>1、“皮格马利翁”效应</w:t>
      </w:r>
    </w:p>
    <w:p w:rsidR="000446D8" w:rsidRPr="00A77978" w:rsidRDefault="00637DA4" w:rsidP="007977C5">
      <w:pPr>
        <w:spacing w:line="520" w:lineRule="exact"/>
        <w:ind w:firstLineChars="200" w:firstLine="480"/>
        <w:jc w:val="left"/>
        <w:rPr>
          <w:rFonts w:ascii="宋体" w:hAnsi="宋体" w:cs="宋体"/>
          <w:sz w:val="24"/>
          <w:szCs w:val="28"/>
        </w:rPr>
      </w:pPr>
      <w:r w:rsidRPr="00A77978">
        <w:rPr>
          <w:rFonts w:ascii="宋体" w:hAnsi="宋体" w:cs="宋体" w:hint="eastAsia"/>
          <w:sz w:val="24"/>
          <w:szCs w:val="28"/>
        </w:rPr>
        <w:t>传说希腊神话中，有一位塞浦路斯（Cyprus）国王名叫皮格马利翁。他性情孤僻，一人独居。他善长雕刻，一次他用象牙雕刻了一座少女像，非常成功，使他</w:t>
      </w:r>
      <w:r w:rsidRPr="00A77978">
        <w:rPr>
          <w:rFonts w:ascii="宋体" w:hAnsi="宋体" w:cs="宋体" w:hint="eastAsia"/>
          <w:color w:val="323E32"/>
          <w:kern w:val="0"/>
          <w:sz w:val="24"/>
          <w:szCs w:val="28"/>
          <w:shd w:val="clear" w:color="auto" w:fill="FFFFFF"/>
        </w:rPr>
        <w:t>深深陶醉其中。</w:t>
      </w:r>
      <w:r w:rsidRPr="00A77978">
        <w:rPr>
          <w:rFonts w:ascii="宋体" w:hAnsi="宋体" w:cs="宋体" w:hint="eastAsia"/>
          <w:sz w:val="24"/>
          <w:szCs w:val="28"/>
        </w:rPr>
        <w:t>慢慢地他对其产生了爱慕之情，</w:t>
      </w:r>
      <w:r w:rsidRPr="00A77978">
        <w:rPr>
          <w:rFonts w:ascii="宋体" w:hAnsi="宋体" w:cs="宋体" w:hint="eastAsia"/>
          <w:color w:val="323E32"/>
          <w:kern w:val="0"/>
          <w:sz w:val="24"/>
          <w:szCs w:val="28"/>
          <w:shd w:val="clear" w:color="auto" w:fill="FFFFFF"/>
        </w:rPr>
        <w:t>真诚地期望自己的爱能被它接受并以同样的爱回报自己。</w:t>
      </w:r>
      <w:r w:rsidRPr="00A77978">
        <w:rPr>
          <w:rFonts w:ascii="宋体" w:hAnsi="宋体" w:cs="宋体" w:hint="eastAsia"/>
          <w:sz w:val="24"/>
          <w:szCs w:val="28"/>
        </w:rPr>
        <w:t>他找到爱神阿佛罗狄忒(Aphrodite)，祈求他赋予少女像</w:t>
      </w:r>
      <w:proofErr w:type="gramStart"/>
      <w:r w:rsidRPr="00A77978">
        <w:rPr>
          <w:rFonts w:ascii="宋体" w:hAnsi="宋体" w:cs="宋体" w:hint="eastAsia"/>
          <w:sz w:val="24"/>
          <w:szCs w:val="28"/>
        </w:rPr>
        <w:t>像</w:t>
      </w:r>
      <w:proofErr w:type="gramEnd"/>
      <w:r w:rsidRPr="00A77978">
        <w:rPr>
          <w:rFonts w:ascii="宋体" w:hAnsi="宋体" w:cs="宋体" w:hint="eastAsia"/>
          <w:sz w:val="24"/>
          <w:szCs w:val="28"/>
        </w:rPr>
        <w:t>以生命。爱神被他的真诚爱情所感动，复活了这座美女雕像。皮格马利翁给她取名为</w:t>
      </w:r>
      <w:proofErr w:type="gramStart"/>
      <w:r w:rsidRPr="00A77978">
        <w:rPr>
          <w:rFonts w:ascii="宋体" w:hAnsi="宋体" w:cs="宋体" w:hint="eastAsia"/>
          <w:sz w:val="24"/>
          <w:szCs w:val="28"/>
        </w:rPr>
        <w:t>伽拉忒</w:t>
      </w:r>
      <w:proofErr w:type="gramEnd"/>
      <w:r w:rsidRPr="00A77978">
        <w:rPr>
          <w:rFonts w:ascii="宋体" w:hAnsi="宋体" w:cs="宋体" w:hint="eastAsia"/>
          <w:sz w:val="24"/>
          <w:szCs w:val="28"/>
        </w:rPr>
        <w:t>亚（Galatea），并娶她为妻，过着幸福快乐的生活。于是，后人就把由期望而产生实际效果的现象叫做皮格马利翁效应。</w:t>
      </w:r>
    </w:p>
    <w:p w:rsidR="000446D8" w:rsidRPr="00A77978" w:rsidRDefault="00637DA4" w:rsidP="007977C5">
      <w:pPr>
        <w:spacing w:line="520" w:lineRule="exact"/>
        <w:ind w:firstLineChars="200" w:firstLine="480"/>
        <w:jc w:val="left"/>
        <w:rPr>
          <w:rFonts w:ascii="宋体" w:hAnsi="宋体" w:cs="宋体"/>
          <w:sz w:val="24"/>
          <w:szCs w:val="28"/>
        </w:rPr>
      </w:pPr>
      <w:r w:rsidRPr="00A77978">
        <w:rPr>
          <w:rFonts w:ascii="宋体" w:hAnsi="宋体" w:cs="宋体" w:hint="eastAsia"/>
          <w:sz w:val="24"/>
          <w:szCs w:val="28"/>
        </w:rPr>
        <w:t>受到这个希腊神话的启发，1968年，美国著名心理学家皮格马利翁做了一项实验。他在一所小学里，从一至六年级各选三个班的儿童，进行一项名为“预测未来发展”的测验。经过测验，皮格马利翁随机抽取数个学生列在一张清单上，告诉学校说这些学生经测验有“潜力发展可能”。8个月后，他回到该学校，奇迹般地发现，再次测验的结果，名单上学生的成绩都有很大提高，教师给他们的评价也均高于以往。教师的期待让学生取得进步的这种现象，被称为“皮格马利翁”效应，亦被称为“皮格马利翁”效应。</w:t>
      </w:r>
    </w:p>
    <w:p w:rsidR="000446D8" w:rsidRPr="00A77978" w:rsidRDefault="00637DA4" w:rsidP="007977C5">
      <w:pPr>
        <w:numPr>
          <w:ilvl w:val="0"/>
          <w:numId w:val="1"/>
        </w:numPr>
        <w:spacing w:line="520" w:lineRule="exact"/>
        <w:ind w:firstLineChars="200" w:firstLine="562"/>
        <w:rPr>
          <w:rFonts w:ascii="宋体" w:hAnsi="宋体" w:cs="宋体"/>
          <w:b/>
          <w:bCs/>
          <w:sz w:val="28"/>
          <w:szCs w:val="28"/>
        </w:rPr>
      </w:pPr>
      <w:r w:rsidRPr="00A77978">
        <w:rPr>
          <w:rFonts w:ascii="宋体" w:hAnsi="宋体" w:cs="宋体" w:hint="eastAsia"/>
          <w:b/>
          <w:bCs/>
          <w:sz w:val="28"/>
          <w:szCs w:val="28"/>
        </w:rPr>
        <w:t>中职</w:t>
      </w:r>
    </w:p>
    <w:p w:rsidR="000446D8" w:rsidRDefault="00637DA4" w:rsidP="00B66C44">
      <w:pPr>
        <w:spacing w:line="520" w:lineRule="exact"/>
        <w:ind w:firstLineChars="200" w:firstLine="480"/>
        <w:rPr>
          <w:rFonts w:ascii="宋体" w:hAnsi="宋体" w:cs="宋体" w:hint="eastAsia"/>
          <w:sz w:val="24"/>
        </w:rPr>
      </w:pPr>
      <w:r w:rsidRPr="00A77978">
        <w:rPr>
          <w:rFonts w:ascii="宋体" w:hAnsi="宋体" w:cs="宋体" w:hint="eastAsia"/>
          <w:sz w:val="24"/>
        </w:rPr>
        <w:t>中等职业学校是实施</w:t>
      </w:r>
      <w:r w:rsidRPr="00A77978">
        <w:rPr>
          <w:rFonts w:ascii="宋体" w:hAnsi="宋体" w:hint="eastAsia"/>
          <w:sz w:val="24"/>
        </w:rPr>
        <w:fldChar w:fldCharType="begin"/>
      </w:r>
      <w:r w:rsidRPr="00A77978">
        <w:rPr>
          <w:rFonts w:ascii="宋体" w:hAnsi="宋体"/>
          <w:sz w:val="24"/>
        </w:rPr>
        <w:instrText xml:space="preserve"> HYPERLINK "https://baike.baidu.com/item/%E4%B8%AD%E7%AD%89%E8%81%8C%E4%B8%9A%E6%95%99%E8%82%B2" \t "https://baike.baidu.com/item/%E4%B8%AD%E7%AD%89%E8%81%8C%E4%B8%9A%E5%AD%A6%E6%A0%A1/_blank" </w:instrText>
      </w:r>
      <w:r w:rsidRPr="00A77978">
        <w:rPr>
          <w:rFonts w:ascii="宋体" w:hAnsi="宋体" w:hint="eastAsia"/>
          <w:sz w:val="24"/>
        </w:rPr>
        <w:fldChar w:fldCharType="separate"/>
      </w:r>
      <w:r w:rsidRPr="00A77978">
        <w:rPr>
          <w:rFonts w:ascii="宋体" w:hAnsi="宋体" w:cs="宋体" w:hint="eastAsia"/>
          <w:sz w:val="24"/>
        </w:rPr>
        <w:t>中等职业教育</w:t>
      </w:r>
      <w:r w:rsidRPr="00A77978">
        <w:rPr>
          <w:rFonts w:ascii="宋体" w:hAnsi="宋体" w:cs="宋体" w:hint="eastAsia"/>
          <w:sz w:val="24"/>
        </w:rPr>
        <w:fldChar w:fldCharType="end"/>
      </w:r>
      <w:r w:rsidRPr="00A77978">
        <w:rPr>
          <w:rFonts w:ascii="宋体" w:hAnsi="宋体" w:cs="宋体" w:hint="eastAsia"/>
          <w:sz w:val="24"/>
        </w:rPr>
        <w:t>的学校（职业高中/中专/技校），学生毕业属中专学历。招生对象是初中毕业生和具有与初中同等学历的人员，基本学制为三年。中等职业教育是在高中教育阶段进行的职业教育，也包括部分</w:t>
      </w:r>
      <w:r w:rsidR="00255FF8">
        <w:fldChar w:fldCharType="begin"/>
      </w:r>
      <w:r w:rsidR="00255FF8">
        <w:instrText xml:space="preserve"> HYPERLINK "https://baike.baidu.com/item/%E9%AB%98%E4%B8%AD/1935" \t "https://baike.baidu.com/item/%E4%B8%AD%E7%AD%89%E8%81%8C%E4%B8%9A%E5%AD%A6%E6%A0%A1/_blank" </w:instrText>
      </w:r>
      <w:r w:rsidR="00255FF8">
        <w:fldChar w:fldCharType="separate"/>
      </w:r>
      <w:r w:rsidRPr="00A77978">
        <w:rPr>
          <w:rFonts w:ascii="宋体" w:hAnsi="宋体" w:cs="宋体" w:hint="eastAsia"/>
          <w:sz w:val="24"/>
        </w:rPr>
        <w:t>高中</w:t>
      </w:r>
      <w:r w:rsidR="00255FF8">
        <w:rPr>
          <w:rFonts w:ascii="宋体" w:hAnsi="宋体" w:cs="宋体"/>
          <w:sz w:val="24"/>
        </w:rPr>
        <w:fldChar w:fldCharType="end"/>
      </w:r>
      <w:r w:rsidRPr="00A77978">
        <w:rPr>
          <w:rFonts w:ascii="宋体" w:hAnsi="宋体" w:cs="宋体" w:hint="eastAsia"/>
          <w:sz w:val="24"/>
        </w:rPr>
        <w:t>后职业培训，目前是我国职业教育的主体。其定位是在义务教育的基础上培养大量技能型人才与高素质</w:t>
      </w:r>
      <w:hyperlink r:id="rId9" w:tgtFrame="https://baike.baidu.com/item/%E4%B8%AD%E7%AD%89%E8%81%8C%E4%B8%9A%E5%AD%A6%E6%A0%A1/_blank" w:history="1">
        <w:r w:rsidRPr="00A77978">
          <w:rPr>
            <w:rFonts w:ascii="宋体" w:hAnsi="宋体" w:cs="宋体" w:hint="eastAsia"/>
            <w:sz w:val="24"/>
          </w:rPr>
          <w:t>劳动者</w:t>
        </w:r>
      </w:hyperlink>
      <w:r w:rsidRPr="00A77978">
        <w:rPr>
          <w:rFonts w:ascii="宋体" w:hAnsi="宋体" w:cs="宋体" w:hint="eastAsia"/>
          <w:sz w:val="24"/>
        </w:rPr>
        <w:t>。</w:t>
      </w:r>
    </w:p>
    <w:p w:rsidR="00F82A46" w:rsidRDefault="00F82A46" w:rsidP="00B66C44">
      <w:pPr>
        <w:numPr>
          <w:ilvl w:val="0"/>
          <w:numId w:val="1"/>
        </w:numPr>
        <w:spacing w:line="520" w:lineRule="exact"/>
        <w:ind w:firstLineChars="200" w:firstLine="562"/>
        <w:rPr>
          <w:rFonts w:ascii="宋体" w:hAnsi="宋体" w:cs="宋体" w:hint="eastAsia"/>
          <w:b/>
          <w:bCs/>
          <w:sz w:val="28"/>
          <w:szCs w:val="28"/>
        </w:rPr>
      </w:pPr>
      <w:r>
        <w:rPr>
          <w:rFonts w:ascii="宋体" w:hAnsi="宋体" w:cs="宋体" w:hint="eastAsia"/>
          <w:b/>
          <w:bCs/>
          <w:sz w:val="28"/>
          <w:szCs w:val="28"/>
        </w:rPr>
        <w:t>对口单招</w:t>
      </w:r>
    </w:p>
    <w:p w:rsidR="00F82A46" w:rsidRPr="00F82A46" w:rsidRDefault="00F82A46" w:rsidP="00F82A46">
      <w:pPr>
        <w:spacing w:line="520" w:lineRule="exact"/>
        <w:ind w:firstLineChars="200" w:firstLine="480"/>
        <w:rPr>
          <w:rFonts w:ascii="宋体" w:hAnsi="宋体" w:cs="宋体" w:hint="eastAsia"/>
          <w:sz w:val="24"/>
        </w:rPr>
      </w:pPr>
      <w:r w:rsidRPr="00F82A46">
        <w:rPr>
          <w:rFonts w:ascii="宋体" w:hAnsi="宋体" w:cs="宋体" w:hint="eastAsia"/>
          <w:sz w:val="24"/>
        </w:rPr>
        <w:t>对口单招，又称对口高考</w:t>
      </w:r>
      <w:r>
        <w:rPr>
          <w:rFonts w:ascii="宋体" w:hAnsi="宋体" w:cs="宋体" w:hint="eastAsia"/>
          <w:sz w:val="24"/>
        </w:rPr>
        <w:t>、</w:t>
      </w:r>
      <w:r w:rsidRPr="00F82A46">
        <w:rPr>
          <w:rFonts w:ascii="宋体" w:hAnsi="宋体" w:cs="宋体" w:hint="eastAsia"/>
          <w:sz w:val="24"/>
        </w:rPr>
        <w:t>对口升学，是相对于普通高中生参加的普通高考的另一概念。对口单招是为了培养应用型高技能人才而推出的一种招生形式。</w:t>
      </w:r>
    </w:p>
    <w:p w:rsidR="00F82A46" w:rsidRPr="00F82A46" w:rsidRDefault="00F82A46" w:rsidP="00F82A46">
      <w:pPr>
        <w:spacing w:line="520" w:lineRule="exact"/>
        <w:ind w:firstLineChars="200" w:firstLine="480"/>
        <w:rPr>
          <w:rFonts w:ascii="宋体" w:hAnsi="宋体" w:cs="宋体" w:hint="eastAsia"/>
          <w:sz w:val="24"/>
        </w:rPr>
      </w:pPr>
      <w:r w:rsidRPr="00F82A46">
        <w:rPr>
          <w:rFonts w:ascii="宋体" w:hAnsi="宋体" w:cs="宋体" w:hint="eastAsia"/>
          <w:sz w:val="24"/>
        </w:rPr>
        <w:t>对口单</w:t>
      </w:r>
      <w:proofErr w:type="gramStart"/>
      <w:r w:rsidRPr="00F82A46">
        <w:rPr>
          <w:rFonts w:ascii="宋体" w:hAnsi="宋体" w:cs="宋体" w:hint="eastAsia"/>
          <w:sz w:val="24"/>
        </w:rPr>
        <w:t>招探索</w:t>
      </w:r>
      <w:proofErr w:type="gramEnd"/>
      <w:r w:rsidRPr="00F82A46">
        <w:rPr>
          <w:rFonts w:ascii="宋体" w:hAnsi="宋体" w:cs="宋体" w:hint="eastAsia"/>
          <w:sz w:val="24"/>
        </w:rPr>
        <w:t>了一种新型的中、高职相互衔接的人才培养模式，丰富了高等职业</w:t>
      </w:r>
      <w:r w:rsidRPr="00F82A46">
        <w:rPr>
          <w:rFonts w:ascii="宋体" w:hAnsi="宋体" w:cs="宋体" w:hint="eastAsia"/>
          <w:sz w:val="24"/>
        </w:rPr>
        <w:lastRenderedPageBreak/>
        <w:t>教育的内涵，也有力推动了中职教育的发展，受到了学校和社会的欢迎。对口单独招生考试是指专门面向中等职业学校选拔优秀学生进入高等院校深造的考试。只面向中等职业学校如职高、职业中专、中专等。</w:t>
      </w:r>
    </w:p>
    <w:p w:rsidR="008256DA" w:rsidRPr="00A77978" w:rsidRDefault="008256DA" w:rsidP="00B66C44">
      <w:pPr>
        <w:numPr>
          <w:ilvl w:val="0"/>
          <w:numId w:val="1"/>
        </w:numPr>
        <w:spacing w:line="520" w:lineRule="exact"/>
        <w:ind w:firstLineChars="200" w:firstLine="562"/>
        <w:rPr>
          <w:rFonts w:ascii="宋体" w:hAnsi="宋体" w:cs="宋体"/>
          <w:b/>
          <w:bCs/>
          <w:sz w:val="28"/>
          <w:szCs w:val="28"/>
        </w:rPr>
      </w:pPr>
      <w:r>
        <w:rPr>
          <w:rFonts w:ascii="宋体" w:hAnsi="宋体" w:cs="宋体" w:hint="eastAsia"/>
          <w:b/>
          <w:bCs/>
          <w:sz w:val="28"/>
          <w:szCs w:val="28"/>
        </w:rPr>
        <w:t>英语听说教学</w:t>
      </w:r>
    </w:p>
    <w:p w:rsidR="008256DA" w:rsidRPr="008256DA" w:rsidRDefault="008256DA" w:rsidP="00B66C44">
      <w:pPr>
        <w:spacing w:line="520" w:lineRule="exact"/>
        <w:ind w:firstLineChars="200" w:firstLine="480"/>
        <w:rPr>
          <w:rFonts w:ascii="宋体" w:hAnsi="宋体" w:cs="宋体"/>
          <w:sz w:val="24"/>
        </w:rPr>
      </w:pPr>
      <w:r w:rsidRPr="008256DA">
        <w:rPr>
          <w:rFonts w:ascii="宋体" w:hAnsi="宋体" w:cs="宋体" w:hint="eastAsia"/>
          <w:sz w:val="24"/>
        </w:rPr>
        <w:t>英语</w:t>
      </w:r>
      <w:r>
        <w:rPr>
          <w:rFonts w:ascii="宋体" w:hAnsi="宋体" w:cs="宋体" w:hint="eastAsia"/>
          <w:sz w:val="24"/>
        </w:rPr>
        <w:t>听说</w:t>
      </w:r>
      <w:r w:rsidRPr="008256DA">
        <w:rPr>
          <w:rFonts w:ascii="宋体" w:hAnsi="宋体" w:cs="宋体" w:hint="eastAsia"/>
          <w:sz w:val="24"/>
        </w:rPr>
        <w:t>教学是英语教学的一个重要组成部分，它主要包括了英语基本知识的培养，</w:t>
      </w:r>
      <w:r>
        <w:rPr>
          <w:rFonts w:ascii="宋体" w:hAnsi="宋体" w:cs="宋体" w:hint="eastAsia"/>
          <w:sz w:val="24"/>
        </w:rPr>
        <w:t>听说</w:t>
      </w:r>
      <w:r w:rsidRPr="008256DA">
        <w:rPr>
          <w:rFonts w:ascii="宋体" w:hAnsi="宋体" w:cs="宋体" w:hint="eastAsia"/>
          <w:sz w:val="24"/>
        </w:rPr>
        <w:t>技能的提升。</w:t>
      </w:r>
    </w:p>
    <w:p w:rsidR="008256DA" w:rsidRPr="008256DA" w:rsidRDefault="008256DA" w:rsidP="00B66C44">
      <w:pPr>
        <w:spacing w:line="520" w:lineRule="exact"/>
        <w:ind w:firstLineChars="200" w:firstLine="480"/>
        <w:rPr>
          <w:rFonts w:ascii="宋体" w:hAnsi="宋体" w:cs="宋体"/>
          <w:sz w:val="24"/>
        </w:rPr>
      </w:pPr>
      <w:r w:rsidRPr="008256DA">
        <w:rPr>
          <w:rFonts w:ascii="宋体" w:hAnsi="宋体" w:cs="宋体" w:hint="eastAsia"/>
          <w:sz w:val="24"/>
        </w:rPr>
        <w:t>（1）英语基本知识</w:t>
      </w:r>
    </w:p>
    <w:p w:rsidR="008256DA" w:rsidRPr="008256DA" w:rsidRDefault="008256DA" w:rsidP="00B66C44">
      <w:pPr>
        <w:spacing w:line="520" w:lineRule="exact"/>
        <w:ind w:firstLineChars="200" w:firstLine="480"/>
        <w:rPr>
          <w:rFonts w:ascii="宋体" w:hAnsi="宋体" w:cs="宋体"/>
          <w:sz w:val="24"/>
        </w:rPr>
      </w:pPr>
      <w:r w:rsidRPr="008256DA">
        <w:rPr>
          <w:rFonts w:ascii="宋体" w:hAnsi="宋体" w:cs="宋体" w:hint="eastAsia"/>
          <w:sz w:val="24"/>
        </w:rPr>
        <w:t>正确运用所学单词的正确形式；正确运用所学的短语搭配；正确运用所学句型；学会在正确的场合情况下使用相对应的句子、词语。</w:t>
      </w:r>
    </w:p>
    <w:p w:rsidR="008256DA" w:rsidRPr="008256DA" w:rsidRDefault="008256DA" w:rsidP="00B66C44">
      <w:pPr>
        <w:spacing w:line="520" w:lineRule="exact"/>
        <w:ind w:firstLineChars="200" w:firstLine="480"/>
        <w:rPr>
          <w:rFonts w:ascii="宋体" w:hAnsi="宋体" w:cs="宋体"/>
          <w:sz w:val="24"/>
        </w:rPr>
      </w:pPr>
      <w:r w:rsidRPr="008256DA">
        <w:rPr>
          <w:rFonts w:ascii="宋体" w:hAnsi="宋体" w:cs="宋体" w:hint="eastAsia"/>
          <w:sz w:val="24"/>
        </w:rPr>
        <w:t>（2）</w:t>
      </w:r>
      <w:r>
        <w:rPr>
          <w:rFonts w:ascii="宋体" w:hAnsi="宋体" w:cs="宋体" w:hint="eastAsia"/>
          <w:sz w:val="24"/>
        </w:rPr>
        <w:t>听说</w:t>
      </w:r>
      <w:r w:rsidRPr="008256DA">
        <w:rPr>
          <w:rFonts w:ascii="宋体" w:hAnsi="宋体" w:cs="宋体" w:hint="eastAsia"/>
          <w:sz w:val="24"/>
        </w:rPr>
        <w:t>技能</w:t>
      </w:r>
    </w:p>
    <w:p w:rsidR="008256DA" w:rsidRPr="008256DA" w:rsidRDefault="008256DA" w:rsidP="00B66C44">
      <w:pPr>
        <w:spacing w:line="520" w:lineRule="exact"/>
        <w:ind w:firstLineChars="200" w:firstLine="480"/>
        <w:rPr>
          <w:rFonts w:ascii="宋体" w:hAnsi="宋体" w:cs="宋体"/>
          <w:sz w:val="24"/>
        </w:rPr>
      </w:pPr>
      <w:r w:rsidRPr="008256DA">
        <w:rPr>
          <w:rFonts w:ascii="宋体" w:hAnsi="宋体" w:cs="宋体" w:hint="eastAsia"/>
          <w:sz w:val="24"/>
        </w:rPr>
        <w:t>合理利用相关材料；</w:t>
      </w:r>
      <w:r w:rsidR="00626193">
        <w:rPr>
          <w:rFonts w:ascii="宋体" w:hAnsi="宋体" w:cs="宋体" w:hint="eastAsia"/>
          <w:sz w:val="24"/>
        </w:rPr>
        <w:t>抓住听力内容的关键部分，掌握听力的主旨概要</w:t>
      </w:r>
      <w:r w:rsidRPr="008256DA">
        <w:rPr>
          <w:rFonts w:ascii="宋体" w:hAnsi="宋体" w:cs="宋体" w:hint="eastAsia"/>
          <w:sz w:val="24"/>
        </w:rPr>
        <w:t>；巧用</w:t>
      </w:r>
      <w:r w:rsidR="00626193">
        <w:rPr>
          <w:rFonts w:ascii="宋体" w:hAnsi="宋体" w:cs="宋体" w:hint="eastAsia"/>
          <w:sz w:val="24"/>
        </w:rPr>
        <w:t>听力技巧</w:t>
      </w:r>
      <w:r w:rsidRPr="008256DA">
        <w:rPr>
          <w:rFonts w:ascii="宋体" w:hAnsi="宋体" w:cs="宋体" w:hint="eastAsia"/>
          <w:sz w:val="24"/>
        </w:rPr>
        <w:t>。</w:t>
      </w:r>
      <w:r w:rsidR="00626193">
        <w:rPr>
          <w:rFonts w:ascii="宋体" w:hAnsi="宋体" w:cs="宋体" w:hint="eastAsia"/>
          <w:sz w:val="24"/>
        </w:rPr>
        <w:t>灵活运用所学基础知识，锻炼语言表达能力</w:t>
      </w:r>
      <w:r w:rsidRPr="008256DA">
        <w:rPr>
          <w:rFonts w:ascii="宋体" w:hAnsi="宋体" w:cs="宋体" w:hint="eastAsia"/>
          <w:sz w:val="24"/>
        </w:rPr>
        <w:t>。</w:t>
      </w:r>
    </w:p>
    <w:p w:rsidR="008256DA" w:rsidRPr="008256DA" w:rsidRDefault="008256DA" w:rsidP="00B66C44">
      <w:pPr>
        <w:spacing w:line="520" w:lineRule="exact"/>
        <w:ind w:firstLineChars="200" w:firstLine="480"/>
        <w:rPr>
          <w:rFonts w:ascii="宋体" w:hAnsi="宋体" w:cs="宋体"/>
          <w:sz w:val="24"/>
        </w:rPr>
      </w:pPr>
      <w:r w:rsidRPr="008256DA">
        <w:rPr>
          <w:rFonts w:ascii="宋体" w:hAnsi="宋体" w:cs="宋体" w:hint="eastAsia"/>
          <w:sz w:val="24"/>
        </w:rPr>
        <w:t>（3）学习态度与能力</w:t>
      </w:r>
    </w:p>
    <w:p w:rsidR="008256DA" w:rsidRPr="008256DA" w:rsidRDefault="008256DA" w:rsidP="00B66C44">
      <w:pPr>
        <w:spacing w:line="520" w:lineRule="exact"/>
        <w:ind w:firstLineChars="200" w:firstLine="480"/>
        <w:rPr>
          <w:rFonts w:ascii="宋体" w:hAnsi="宋体" w:cs="宋体"/>
          <w:sz w:val="24"/>
        </w:rPr>
      </w:pPr>
      <w:r w:rsidRPr="008256DA">
        <w:rPr>
          <w:rFonts w:ascii="宋体" w:hAnsi="宋体" w:cs="宋体" w:hint="eastAsia"/>
          <w:sz w:val="24"/>
        </w:rPr>
        <w:t>积极参与课堂活动、</w:t>
      </w:r>
      <w:r>
        <w:rPr>
          <w:rFonts w:ascii="宋体" w:hAnsi="宋体" w:cs="宋体" w:hint="eastAsia"/>
          <w:sz w:val="24"/>
        </w:rPr>
        <w:t>听说</w:t>
      </w:r>
      <w:r w:rsidRPr="008256DA">
        <w:rPr>
          <w:rFonts w:ascii="宋体" w:hAnsi="宋体" w:cs="宋体" w:hint="eastAsia"/>
          <w:sz w:val="24"/>
        </w:rPr>
        <w:t>技能训练；主动钻研</w:t>
      </w:r>
      <w:r>
        <w:rPr>
          <w:rFonts w:ascii="宋体" w:hAnsi="宋体" w:cs="宋体" w:hint="eastAsia"/>
          <w:sz w:val="24"/>
        </w:rPr>
        <w:t>听说</w:t>
      </w:r>
      <w:r w:rsidRPr="008256DA">
        <w:rPr>
          <w:rFonts w:ascii="宋体" w:hAnsi="宋体" w:cs="宋体" w:hint="eastAsia"/>
          <w:sz w:val="24"/>
        </w:rPr>
        <w:t>技巧；在</w:t>
      </w:r>
      <w:r>
        <w:rPr>
          <w:rFonts w:ascii="宋体" w:hAnsi="宋体" w:cs="宋体" w:hint="eastAsia"/>
          <w:sz w:val="24"/>
        </w:rPr>
        <w:t>听说</w:t>
      </w:r>
      <w:r w:rsidRPr="008256DA">
        <w:rPr>
          <w:rFonts w:ascii="宋体" w:hAnsi="宋体" w:cs="宋体" w:hint="eastAsia"/>
          <w:sz w:val="24"/>
        </w:rPr>
        <w:t>过程中能灵活运用所学知识；虚心向其他同学学习，善于观察、反思、分析和归纳。</w:t>
      </w:r>
    </w:p>
    <w:p w:rsidR="000446D8" w:rsidRPr="00A77978" w:rsidRDefault="00637DA4" w:rsidP="007977C5">
      <w:pPr>
        <w:spacing w:line="520" w:lineRule="exact"/>
        <w:jc w:val="left"/>
        <w:rPr>
          <w:rFonts w:ascii="宋体" w:hAnsi="宋体" w:cs="宋体"/>
          <w:b/>
          <w:sz w:val="30"/>
          <w:szCs w:val="30"/>
        </w:rPr>
      </w:pPr>
      <w:r w:rsidRPr="00A77978">
        <w:rPr>
          <w:rFonts w:ascii="宋体" w:hAnsi="宋体" w:cs="宋体" w:hint="eastAsia"/>
          <w:b/>
          <w:sz w:val="30"/>
          <w:szCs w:val="30"/>
        </w:rPr>
        <w:t>（三）国内外</w:t>
      </w:r>
      <w:r w:rsidRPr="002E76D2">
        <w:rPr>
          <w:rFonts w:ascii="宋体" w:hAnsi="宋体" w:cs="宋体" w:hint="eastAsia"/>
          <w:b/>
          <w:sz w:val="30"/>
          <w:szCs w:val="30"/>
        </w:rPr>
        <w:t>同一研究领域</w:t>
      </w:r>
      <w:r w:rsidRPr="00A77978">
        <w:rPr>
          <w:rFonts w:ascii="宋体" w:hAnsi="宋体" w:cs="宋体" w:hint="eastAsia"/>
          <w:b/>
          <w:sz w:val="30"/>
          <w:szCs w:val="30"/>
        </w:rPr>
        <w:t>现状、本课题研究价值与创新之处</w:t>
      </w:r>
    </w:p>
    <w:p w:rsidR="000446D8" w:rsidRDefault="00637DA4" w:rsidP="007977C5">
      <w:pPr>
        <w:spacing w:line="520" w:lineRule="exact"/>
        <w:ind w:firstLineChars="200" w:firstLine="562"/>
        <w:rPr>
          <w:rFonts w:ascii="宋体" w:hAnsi="宋体" w:cs="宋体"/>
          <w:b/>
          <w:bCs/>
          <w:sz w:val="28"/>
          <w:szCs w:val="28"/>
        </w:rPr>
      </w:pPr>
      <w:r>
        <w:rPr>
          <w:rFonts w:ascii="宋体" w:hAnsi="宋体" w:cs="宋体" w:hint="eastAsia"/>
          <w:b/>
          <w:bCs/>
          <w:sz w:val="28"/>
          <w:szCs w:val="28"/>
        </w:rPr>
        <w:t xml:space="preserve">1、国外研究现状 </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自美国心理学家皮格马利翁和雅各布森将“自我实现的预言”引入教育领域并于 1968年出版了《课堂中的皮格马利</w:t>
      </w:r>
      <w:r w:rsidRPr="00BC0EAB">
        <w:rPr>
          <w:rFonts w:ascii="宋体" w:hAnsi="宋体" w:cs="宋体" w:hint="eastAsia"/>
          <w:sz w:val="24"/>
          <w:szCs w:val="28"/>
        </w:rPr>
        <w:t>翁》以来，关于“皮格马利翁效应”的研</w:t>
      </w:r>
      <w:r w:rsidRPr="00A77978">
        <w:rPr>
          <w:rFonts w:ascii="宋体" w:hAnsi="宋体" w:cs="宋体" w:hint="eastAsia"/>
          <w:sz w:val="24"/>
          <w:szCs w:val="28"/>
        </w:rPr>
        <w:t xml:space="preserve">究在美国已达400多种。“这些研究认为：从实验中引发教师对学生成就的期望最终与学生学业成就的真实水平有关，那些教师对其期望高的学生(即使这种期望没有现实的基础)，一般能够做得更好。这一研究结果引起了学术界的巨大争论。布罗菲(Bro </w:t>
      </w:r>
      <w:proofErr w:type="spellStart"/>
      <w:r w:rsidRPr="00A77978">
        <w:rPr>
          <w:rFonts w:ascii="宋体" w:hAnsi="宋体" w:cs="宋体" w:hint="eastAsia"/>
          <w:sz w:val="24"/>
          <w:szCs w:val="28"/>
        </w:rPr>
        <w:t>Phr</w:t>
      </w:r>
      <w:proofErr w:type="spellEnd"/>
      <w:r w:rsidRPr="00A77978">
        <w:rPr>
          <w:rFonts w:ascii="宋体" w:hAnsi="宋体" w:cs="宋体" w:hint="eastAsia"/>
          <w:sz w:val="24"/>
          <w:szCs w:val="28"/>
        </w:rPr>
        <w:t>)和伊夫特森伍（</w:t>
      </w:r>
      <w:proofErr w:type="spellStart"/>
      <w:r w:rsidRPr="00A77978">
        <w:rPr>
          <w:rFonts w:ascii="宋体" w:hAnsi="宋体" w:cs="宋体" w:hint="eastAsia"/>
          <w:sz w:val="24"/>
          <w:szCs w:val="28"/>
        </w:rPr>
        <w:t>vertson</w:t>
      </w:r>
      <w:proofErr w:type="spellEnd"/>
      <w:r w:rsidRPr="00A77978">
        <w:rPr>
          <w:rFonts w:ascii="宋体" w:hAnsi="宋体" w:cs="宋体" w:hint="eastAsia"/>
          <w:sz w:val="24"/>
          <w:szCs w:val="28"/>
        </w:rPr>
        <w:t>)主持的‘德克萨斯有效性研究方案’的实验，以及克雷纳(</w:t>
      </w:r>
      <w:proofErr w:type="spellStart"/>
      <w:r w:rsidRPr="00A77978">
        <w:rPr>
          <w:rFonts w:ascii="宋体" w:hAnsi="宋体" w:cs="宋体" w:hint="eastAsia"/>
          <w:sz w:val="24"/>
          <w:szCs w:val="28"/>
        </w:rPr>
        <w:t>Crany</w:t>
      </w:r>
      <w:proofErr w:type="spellEnd"/>
      <w:r w:rsidRPr="00A77978">
        <w:rPr>
          <w:rFonts w:ascii="宋体" w:hAnsi="宋体" w:cs="宋体" w:hint="eastAsia"/>
          <w:sz w:val="24"/>
          <w:szCs w:val="28"/>
        </w:rPr>
        <w:t>)和梅伦(Mellon)在英国初等学校对 4300 名儿童进行为期 4 年的纵向研究等都支持了这一观点。而弗兰明伊（</w:t>
      </w:r>
      <w:proofErr w:type="spellStart"/>
      <w:r w:rsidRPr="00A77978">
        <w:rPr>
          <w:rFonts w:ascii="宋体" w:hAnsi="宋体" w:cs="宋体" w:hint="eastAsia"/>
          <w:sz w:val="24"/>
          <w:szCs w:val="28"/>
        </w:rPr>
        <w:t>leming</w:t>
      </w:r>
      <w:proofErr w:type="spellEnd"/>
      <w:r w:rsidRPr="00A77978">
        <w:rPr>
          <w:rFonts w:ascii="宋体" w:hAnsi="宋体" w:cs="宋体" w:hint="eastAsia"/>
          <w:sz w:val="24"/>
          <w:szCs w:val="28"/>
        </w:rPr>
        <w:t>)等人的研究却证伪了‘皮格马利翁效应’的实际作用。”</w:t>
      </w:r>
      <w:r w:rsidRPr="00A77978">
        <w:rPr>
          <w:rStyle w:val="a7"/>
          <w:rFonts w:ascii="宋体" w:hAnsi="宋体" w:cs="宋体" w:hint="eastAsia"/>
          <w:sz w:val="24"/>
          <w:szCs w:val="28"/>
        </w:rPr>
        <w:footnoteReference w:id="1"/>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lastRenderedPageBreak/>
        <w:t>通过比较分析可看出，虽然这些研究结果之间存在差距，但在多种研究的基础上，国外学者在本课题的研究上</w:t>
      </w:r>
      <w:proofErr w:type="gramStart"/>
      <w:r w:rsidRPr="00A77978">
        <w:rPr>
          <w:rFonts w:ascii="宋体" w:hAnsi="宋体" w:cs="宋体" w:hint="eastAsia"/>
          <w:sz w:val="24"/>
          <w:szCs w:val="28"/>
        </w:rPr>
        <w:t>作出</w:t>
      </w:r>
      <w:proofErr w:type="gramEnd"/>
      <w:r w:rsidRPr="00A77978">
        <w:rPr>
          <w:rFonts w:ascii="宋体" w:hAnsi="宋体" w:cs="宋体" w:hint="eastAsia"/>
          <w:sz w:val="24"/>
          <w:szCs w:val="28"/>
        </w:rPr>
        <w:t>了两方面的贡献：一是研究了影响“皮格马利翁效应”的因素。二是建立了“教师期望”效应实现的理论模型，其中比较有代表性的主要有以下四种：(1)布罗菲和古德模型。该模型的主要流程为：首先,教师形成对学生的特定行为和表现的期望,在这些期望的影响下,教师用不同的行为对待不同的学生,如果教师的行为能持续下去,而且学生也没有对此做出反抗,学生的表现就会与教师的期望相一致。(2)期望交流模型。首先, 通过对学生的家庭背景和学生能力的了解，教师形成期望。然后,互动背景和期望影响教师的控制知觉。再次,教师的控制知觉影响</w:t>
      </w:r>
      <w:proofErr w:type="gramStart"/>
      <w:r w:rsidRPr="00A77978">
        <w:rPr>
          <w:rFonts w:ascii="宋体" w:hAnsi="宋体" w:cs="宋体" w:hint="eastAsia"/>
          <w:sz w:val="24"/>
          <w:szCs w:val="28"/>
        </w:rPr>
        <w:t>着气氛</w:t>
      </w:r>
      <w:proofErr w:type="gramEnd"/>
      <w:r w:rsidRPr="00A77978">
        <w:rPr>
          <w:rFonts w:ascii="宋体" w:hAnsi="宋体" w:cs="宋体" w:hint="eastAsia"/>
          <w:sz w:val="24"/>
          <w:szCs w:val="28"/>
        </w:rPr>
        <w:t>和反馈的性质。最后,反馈的性质又影响学生的自我效能信念,学生的自我效能信念继而影响学生的表现。(3)达利和法扎尔模型，即教师根据学生的个人特征和他们的行为表现等信息形成期望，这些期望继而影响师生间的相互作用。(4)皮格马利翁中介因素模型。皮格马利翁在 1973 年提出</w:t>
      </w:r>
      <w:proofErr w:type="gramStart"/>
      <w:r w:rsidRPr="00A77978">
        <w:rPr>
          <w:rFonts w:ascii="宋体" w:hAnsi="宋体" w:cs="宋体" w:hint="eastAsia"/>
          <w:sz w:val="24"/>
          <w:szCs w:val="28"/>
        </w:rPr>
        <w:t>四因素</w:t>
      </w:r>
      <w:proofErr w:type="gramEnd"/>
      <w:r w:rsidRPr="00A77978">
        <w:rPr>
          <w:rFonts w:ascii="宋体" w:hAnsi="宋体" w:cs="宋体" w:hint="eastAsia"/>
          <w:sz w:val="24"/>
          <w:szCs w:val="28"/>
        </w:rPr>
        <w:t>中介模型,认为教师期望是通过气氛、反馈、输入、输出四种行为而影响学生表现的。皮格马利翁的模型集中于对积极“期望”效应的研究,认为如果教师能够做好以上几点,就会提高学生的学习效果。但是，该模型是建立在实验研究的基础上的,无法诱导消极期望,因此模型的推广性也值得商榷。</w:t>
      </w:r>
      <w:r w:rsidRPr="00A77978">
        <w:rPr>
          <w:rStyle w:val="a7"/>
          <w:rFonts w:ascii="宋体" w:hAnsi="宋体" w:cs="宋体" w:hint="eastAsia"/>
          <w:sz w:val="24"/>
          <w:szCs w:val="28"/>
        </w:rPr>
        <w:footnoteReference w:id="2"/>
      </w:r>
    </w:p>
    <w:p w:rsidR="000446D8" w:rsidRPr="00A77978" w:rsidRDefault="00637DA4" w:rsidP="007977C5">
      <w:pPr>
        <w:spacing w:line="520" w:lineRule="exact"/>
        <w:ind w:firstLineChars="200" w:firstLine="562"/>
        <w:rPr>
          <w:rFonts w:ascii="宋体" w:hAnsi="宋体" w:cs="宋体"/>
          <w:b/>
          <w:bCs/>
          <w:sz w:val="28"/>
          <w:szCs w:val="28"/>
        </w:rPr>
      </w:pPr>
      <w:r w:rsidRPr="00A77978">
        <w:rPr>
          <w:rFonts w:ascii="宋体" w:hAnsi="宋体" w:cs="宋体" w:hint="eastAsia"/>
          <w:b/>
          <w:bCs/>
          <w:sz w:val="28"/>
          <w:szCs w:val="28"/>
        </w:rPr>
        <w:t xml:space="preserve">2、国内研究现状 </w:t>
      </w:r>
    </w:p>
    <w:p w:rsidR="000446D8" w:rsidRPr="00A77978" w:rsidRDefault="00637DA4" w:rsidP="007977C5">
      <w:pPr>
        <w:spacing w:line="520" w:lineRule="exact"/>
        <w:ind w:firstLineChars="200" w:firstLine="480"/>
        <w:rPr>
          <w:rFonts w:ascii="宋体" w:hAnsi="宋体" w:cs="宋体"/>
          <w:sz w:val="24"/>
        </w:rPr>
      </w:pPr>
      <w:r w:rsidRPr="00A77978">
        <w:rPr>
          <w:rFonts w:ascii="宋体" w:hAnsi="宋体" w:cs="宋体" w:hint="eastAsia"/>
          <w:sz w:val="24"/>
        </w:rPr>
        <w:t>国内学界对“皮格马利翁效应”即“教师期望效应”的研究最初只是对国外的相关研究资料进行翻译，介绍和评论，多停留在对“皮格马利翁效应”的介绍了解上，对国外研究的新成果和进展知之甚少。20 世纪 90 年代以后，一些研究人员开始注重该理论的“本土”的实证研究。如 90 年代初，</w:t>
      </w:r>
      <w:proofErr w:type="gramStart"/>
      <w:r w:rsidRPr="00A77978">
        <w:rPr>
          <w:rFonts w:ascii="宋体" w:hAnsi="宋体" w:cs="宋体" w:hint="eastAsia"/>
          <w:sz w:val="24"/>
        </w:rPr>
        <w:t>金盛华</w:t>
      </w:r>
      <w:proofErr w:type="gramEnd"/>
      <w:r w:rsidRPr="00A77978">
        <w:rPr>
          <w:rFonts w:ascii="宋体" w:hAnsi="宋体" w:cs="宋体" w:hint="eastAsia"/>
          <w:sz w:val="24"/>
        </w:rPr>
        <w:t>发表了《教师期望与学生发展》等文章，特别是 90 年代中后期刘丽红、姚清如等人发表了一系列的文章对教师期望对学生学业成绩的影响，教师期望产生的心理原因及该效应传递的机制等进行探讨，从而推进了国内对该课题的研究。</w:t>
      </w:r>
      <w:r w:rsidRPr="00A77978">
        <w:rPr>
          <w:rStyle w:val="a7"/>
          <w:rFonts w:ascii="宋体" w:hAnsi="宋体" w:cs="宋体" w:hint="eastAsia"/>
          <w:sz w:val="24"/>
        </w:rPr>
        <w:footnoteReference w:id="3"/>
      </w:r>
    </w:p>
    <w:p w:rsidR="000446D8" w:rsidRPr="00A77978" w:rsidRDefault="00637DA4" w:rsidP="007977C5">
      <w:pPr>
        <w:spacing w:line="520" w:lineRule="exact"/>
        <w:ind w:firstLineChars="200" w:firstLine="480"/>
        <w:rPr>
          <w:rFonts w:ascii="宋体" w:hAnsi="宋体" w:cs="宋体"/>
          <w:sz w:val="24"/>
        </w:rPr>
      </w:pPr>
      <w:r w:rsidRPr="00A77978">
        <w:rPr>
          <w:rFonts w:ascii="宋体" w:hAnsi="宋体" w:cs="宋体" w:hint="eastAsia"/>
          <w:sz w:val="24"/>
        </w:rPr>
        <w:t xml:space="preserve">利用中国（CNKI）学术文献总库进行了大量的文献检索，梳理最近几年学界对“皮格马利翁效应”及其应用的研究，主要成果体现在以下方面： </w:t>
      </w:r>
    </w:p>
    <w:p w:rsidR="000446D8" w:rsidRPr="00A77978" w:rsidRDefault="00637DA4" w:rsidP="007977C5">
      <w:pPr>
        <w:spacing w:line="520" w:lineRule="exact"/>
        <w:ind w:firstLineChars="200" w:firstLine="480"/>
        <w:rPr>
          <w:rFonts w:ascii="宋体" w:hAnsi="宋体" w:cs="宋体"/>
          <w:sz w:val="24"/>
        </w:rPr>
      </w:pPr>
      <w:bookmarkStart w:id="0" w:name="_GoBack"/>
      <w:bookmarkEnd w:id="0"/>
      <w:r w:rsidRPr="00A77978">
        <w:rPr>
          <w:rFonts w:ascii="宋体" w:hAnsi="宋体" w:cs="宋体" w:hint="eastAsia"/>
          <w:sz w:val="24"/>
        </w:rPr>
        <w:lastRenderedPageBreak/>
        <w:t>主要著作有陈敏编著、北京工业大学出版社出版的《皮格马利翁效应》，该书主要应用于职场工作、家庭教育和人际交往中，是机关、企业和个人对付人际关系中的隔阂、摩擦的良药，也是国内相关题材的第一本著作。另外，主要的论文有：中国地质大学的王建平和陈永进在《教师期望效应及其对教师的“期望”》一文中，阐述了包括社会学基础、生理学基础和心理学基础的“皮格马利翁”效应的理论基础和“皮格马利翁”效应作用的一般过程，并提出了对教师的要求，即了解和关心学生、尊重和信任学生、对学生提出适度期望、公平对待每个学生和不断提高自身素质。曹建军在《警惕皮格马利翁的负效应》一文中，提出了教师要警惕可能因为学生学习动机模糊不清、逆反心理强势反弹、自我独立意识明显等原因导致的“皮格马利翁”负效应。长春理工大学外语学院的李焱的《从“皮格马利翁效应”中得到的启示》一文认为，“皮格马利翁”效应给我们这样一个启示:教师对学生的期望会在学生心理上产生巨大的影响，同时他提出要发挥好“皮格马利翁”效应，必须做到以下几个方面:第一，培养感情，建立融洽的师生关系；第二，及时鼓励，增强学生的自信心；第三，付出真爱，用自己火热的心去温暖学生的心。山东德州学院教育系的高占海、刘永恒、赵爱学撰文《关于“皮格马利翁”效应的四个不等式》，指出，部分教师由于缺乏正确的认识，使“皮格马利翁”效应走了样：第一，教师的期望不等于所有学生都能具有较强的学习能力；第二，教师的期望不等于教学过程“诲人不倦”；第三，教师的期望不等于课堂上处处洋溢表扬之声；第四，教师的期望不等于学生获得了最佳的激励。主要的学位论文如苏州大学，陆丽的《“期望教育”的范式及应用研究》等。这些研究丰富了“皮格马利翁效应”的研究成果，使国内进一步了解教师期望，对于推进教师期望的应用具有重要意义；但是，这些研究也仅停留在一些理论上的探讨，而对于教师应如何将该理论有效地应用到学科教学和班级管理中</w:t>
      </w:r>
      <w:proofErr w:type="gramStart"/>
      <w:r w:rsidRPr="00A77978">
        <w:rPr>
          <w:rFonts w:ascii="宋体" w:hAnsi="宋体" w:cs="宋体" w:hint="eastAsia"/>
          <w:sz w:val="24"/>
        </w:rPr>
        <w:t>去以及</w:t>
      </w:r>
      <w:proofErr w:type="gramEnd"/>
      <w:r w:rsidRPr="00A77978">
        <w:rPr>
          <w:rFonts w:ascii="宋体" w:hAnsi="宋体" w:cs="宋体" w:hint="eastAsia"/>
          <w:sz w:val="24"/>
        </w:rPr>
        <w:t xml:space="preserve">教育管理应如何创造一种期望教育的环境，以利于该效应的实现还缺乏系统地阐述。 </w:t>
      </w:r>
    </w:p>
    <w:p w:rsidR="000446D8" w:rsidRPr="00A77978" w:rsidRDefault="00637DA4" w:rsidP="007977C5">
      <w:pPr>
        <w:spacing w:line="520" w:lineRule="exact"/>
        <w:ind w:firstLine="560"/>
        <w:rPr>
          <w:rFonts w:ascii="宋体" w:hAnsi="宋体"/>
          <w:b/>
          <w:sz w:val="28"/>
          <w:szCs w:val="28"/>
        </w:rPr>
      </w:pPr>
      <w:r w:rsidRPr="00A77978">
        <w:rPr>
          <w:rFonts w:ascii="宋体" w:hAnsi="宋体" w:hint="eastAsia"/>
          <w:b/>
          <w:sz w:val="28"/>
          <w:szCs w:val="28"/>
        </w:rPr>
        <w:t>3、研究价值</w:t>
      </w:r>
    </w:p>
    <w:p w:rsidR="005C16AD" w:rsidRDefault="005C16AD" w:rsidP="007977C5">
      <w:pPr>
        <w:spacing w:line="520" w:lineRule="exact"/>
        <w:ind w:firstLine="560"/>
        <w:rPr>
          <w:rFonts w:ascii="宋体" w:hAnsi="宋体"/>
          <w:sz w:val="24"/>
        </w:rPr>
      </w:pPr>
      <w:r>
        <w:rPr>
          <w:rFonts w:ascii="宋体" w:hAnsi="宋体" w:hint="eastAsia"/>
          <w:sz w:val="24"/>
        </w:rPr>
        <w:t>本研究将皮格马利翁效应运用到中职英语听说课课堂中，弥补了教师期望在单</w:t>
      </w:r>
      <w:proofErr w:type="gramStart"/>
      <w:r>
        <w:rPr>
          <w:rFonts w:ascii="宋体" w:hAnsi="宋体" w:hint="eastAsia"/>
          <w:sz w:val="24"/>
        </w:rPr>
        <w:t>招中职生</w:t>
      </w:r>
      <w:proofErr w:type="gramEnd"/>
      <w:r>
        <w:rPr>
          <w:rFonts w:ascii="宋体" w:hAnsi="宋体" w:hint="eastAsia"/>
          <w:sz w:val="24"/>
        </w:rPr>
        <w:t>英语听说课教学中的亏空，帮助对口单招英语教师走出当前教学的恶性循环，</w:t>
      </w:r>
      <w:r>
        <w:rPr>
          <w:rFonts w:ascii="宋体" w:hAnsi="宋体" w:hint="eastAsia"/>
          <w:sz w:val="24"/>
        </w:rPr>
        <w:lastRenderedPageBreak/>
        <w:t>为教师在英语听说课教学实践中有效实施教师期望提供依据和支持，通过教师期望的影响，帮助学生提高学习兴趣，获得英语听说的成就感，建立自信，学会调整学习方法。</w:t>
      </w:r>
    </w:p>
    <w:p w:rsidR="000446D8" w:rsidRPr="00B50F5E" w:rsidRDefault="00637DA4" w:rsidP="007977C5">
      <w:pPr>
        <w:numPr>
          <w:ilvl w:val="0"/>
          <w:numId w:val="3"/>
        </w:numPr>
        <w:spacing w:line="520" w:lineRule="exact"/>
        <w:ind w:firstLine="561"/>
        <w:rPr>
          <w:sz w:val="28"/>
          <w:szCs w:val="28"/>
        </w:rPr>
      </w:pPr>
      <w:r w:rsidRPr="00B50F5E">
        <w:rPr>
          <w:rFonts w:hint="eastAsia"/>
          <w:b/>
          <w:sz w:val="28"/>
          <w:szCs w:val="28"/>
        </w:rPr>
        <w:t>创新之处：</w:t>
      </w:r>
    </w:p>
    <w:p w:rsidR="000446D8" w:rsidRPr="005C16AD" w:rsidRDefault="005C16AD" w:rsidP="007977C5">
      <w:pPr>
        <w:spacing w:line="520" w:lineRule="exact"/>
        <w:ind w:firstLineChars="200" w:firstLine="480"/>
        <w:rPr>
          <w:rFonts w:ascii="宋体" w:hAnsi="宋体"/>
          <w:sz w:val="24"/>
        </w:rPr>
      </w:pPr>
      <w:r w:rsidRPr="005C16AD">
        <w:rPr>
          <w:rFonts w:ascii="宋体" w:hAnsi="宋体" w:hint="eastAsia"/>
          <w:sz w:val="24"/>
        </w:rPr>
        <w:t>通过本研究，以英语</w:t>
      </w:r>
      <w:r>
        <w:rPr>
          <w:rFonts w:ascii="宋体" w:hAnsi="宋体" w:hint="eastAsia"/>
          <w:sz w:val="24"/>
        </w:rPr>
        <w:t>听说</w:t>
      </w:r>
      <w:r w:rsidRPr="005C16AD">
        <w:rPr>
          <w:rFonts w:ascii="宋体" w:hAnsi="宋体" w:hint="eastAsia"/>
          <w:sz w:val="24"/>
        </w:rPr>
        <w:t>为抓手，使</w:t>
      </w:r>
      <w:proofErr w:type="gramStart"/>
      <w:r w:rsidRPr="005C16AD">
        <w:rPr>
          <w:rFonts w:ascii="宋体" w:hAnsi="宋体" w:hint="eastAsia"/>
          <w:sz w:val="24"/>
        </w:rPr>
        <w:t>单招中职</w:t>
      </w:r>
      <w:proofErr w:type="gramEnd"/>
      <w:r w:rsidRPr="005C16AD">
        <w:rPr>
          <w:rFonts w:ascii="宋体" w:hAnsi="宋体" w:hint="eastAsia"/>
          <w:sz w:val="24"/>
        </w:rPr>
        <w:t>学生从被动</w:t>
      </w:r>
      <w:r>
        <w:rPr>
          <w:rFonts w:ascii="宋体" w:hAnsi="宋体" w:hint="eastAsia"/>
          <w:sz w:val="24"/>
        </w:rPr>
        <w:t>学习</w:t>
      </w:r>
      <w:r w:rsidRPr="005C16AD">
        <w:rPr>
          <w:rFonts w:ascii="宋体" w:hAnsi="宋体" w:hint="eastAsia"/>
          <w:sz w:val="24"/>
        </w:rPr>
        <w:t>转变为</w:t>
      </w:r>
      <w:r>
        <w:rPr>
          <w:rFonts w:ascii="宋体" w:hAnsi="宋体" w:hint="eastAsia"/>
          <w:sz w:val="24"/>
        </w:rPr>
        <w:t>学习</w:t>
      </w:r>
      <w:r w:rsidRPr="005C16AD">
        <w:rPr>
          <w:rFonts w:ascii="宋体" w:hAnsi="宋体" w:hint="eastAsia"/>
          <w:sz w:val="24"/>
        </w:rPr>
        <w:t>的主体和积极参与者。教师通过学生</w:t>
      </w:r>
      <w:r>
        <w:rPr>
          <w:rFonts w:ascii="宋体" w:hAnsi="宋体" w:hint="eastAsia"/>
          <w:sz w:val="24"/>
        </w:rPr>
        <w:t>的</w:t>
      </w:r>
      <w:r w:rsidRPr="005C16AD">
        <w:rPr>
          <w:rFonts w:ascii="宋体" w:hAnsi="宋体" w:hint="eastAsia"/>
          <w:sz w:val="24"/>
        </w:rPr>
        <w:t>反馈信息、改进教学管理、保证教学质量，学生调整学习策略、改进学习方法、提高学习效率。</w:t>
      </w:r>
    </w:p>
    <w:p w:rsidR="000446D8" w:rsidRPr="00A77978" w:rsidRDefault="00637DA4" w:rsidP="007977C5">
      <w:pPr>
        <w:spacing w:line="520" w:lineRule="exact"/>
        <w:jc w:val="left"/>
        <w:rPr>
          <w:rFonts w:ascii="宋体" w:hAnsi="宋体" w:cs="宋体"/>
          <w:b/>
          <w:sz w:val="30"/>
          <w:szCs w:val="30"/>
        </w:rPr>
      </w:pPr>
      <w:r w:rsidRPr="00A77978">
        <w:rPr>
          <w:rFonts w:ascii="宋体" w:hAnsi="宋体" w:cs="宋体" w:hint="eastAsia"/>
          <w:b/>
          <w:sz w:val="30"/>
          <w:szCs w:val="30"/>
        </w:rPr>
        <w:t>（四）理论依据</w:t>
      </w:r>
    </w:p>
    <w:p w:rsidR="000446D8" w:rsidRPr="00A77978" w:rsidRDefault="00637DA4" w:rsidP="007977C5">
      <w:pPr>
        <w:spacing w:line="520" w:lineRule="exact"/>
        <w:ind w:firstLineChars="200" w:firstLine="562"/>
        <w:rPr>
          <w:rFonts w:ascii="宋体" w:hAnsi="宋体" w:cs="宋体"/>
          <w:b/>
          <w:bCs/>
          <w:sz w:val="28"/>
          <w:szCs w:val="28"/>
        </w:rPr>
      </w:pPr>
      <w:r w:rsidRPr="00A77978">
        <w:rPr>
          <w:rFonts w:ascii="宋体" w:hAnsi="宋体" w:cs="宋体" w:hint="eastAsia"/>
          <w:b/>
          <w:bCs/>
          <w:sz w:val="28"/>
          <w:szCs w:val="28"/>
        </w:rPr>
        <w:t>1、皮格马利翁效应</w:t>
      </w:r>
    </w:p>
    <w:p w:rsidR="000446D8" w:rsidRPr="00A77978" w:rsidRDefault="00637DA4" w:rsidP="007977C5">
      <w:pPr>
        <w:spacing w:line="520" w:lineRule="exact"/>
        <w:ind w:firstLineChars="200" w:firstLine="482"/>
        <w:rPr>
          <w:rFonts w:ascii="宋体" w:hAnsi="宋体" w:cs="宋体"/>
          <w:b/>
          <w:bCs/>
          <w:sz w:val="24"/>
          <w:szCs w:val="28"/>
        </w:rPr>
      </w:pPr>
      <w:r w:rsidRPr="00A77978">
        <w:rPr>
          <w:rFonts w:ascii="宋体" w:hAnsi="宋体" w:cs="宋体" w:hint="eastAsia"/>
          <w:b/>
          <w:bCs/>
          <w:sz w:val="24"/>
          <w:szCs w:val="28"/>
        </w:rPr>
        <w:t>（1）哲学基础</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西方文艺复兴时期的人道主义、现代的存在主义均构成了“皮格马利翁效应”的哲学基础。其基本观点为：人性本是积极善良且有巨大潜能的，其行为受自身意志的驱动，人的潜能和意志与外在环境是内外因的关系。内因是主导，外因则是促进内因发展的条件。这一观点要求教师积极地看待学生，这样才能为“皮格马利翁效应”的实现提供基础。只有教师真心实意地认可并赞美学生，让学生感受到自己的爱，学生才会建立自信，有奋发向上的动力并不断取得进步。学生的发展是内在与外界环境、学校教育相互作用的结果，</w:t>
      </w:r>
      <w:proofErr w:type="gramStart"/>
      <w:r w:rsidRPr="00A77978">
        <w:rPr>
          <w:rFonts w:ascii="宋体" w:hAnsi="宋体" w:cs="宋体" w:hint="eastAsia"/>
          <w:sz w:val="24"/>
          <w:szCs w:val="28"/>
        </w:rPr>
        <w:t>内在是</w:t>
      </w:r>
      <w:proofErr w:type="gramEnd"/>
      <w:r w:rsidRPr="00A77978">
        <w:rPr>
          <w:rFonts w:ascii="宋体" w:hAnsi="宋体" w:cs="宋体" w:hint="eastAsia"/>
          <w:sz w:val="24"/>
          <w:szCs w:val="28"/>
        </w:rPr>
        <w:t>基础，也是动力，来自教师的认可与赞赏则是来自外在的影响，是外部条件。教师对于学生的期望建立在教学目标与学生实际情况相结合的基础上，从学生的角度来看，教师对自己的认可与期待在一定程度上体现了家庭与社会的期待。这种期待会使学生内心产生一种愉悦与自信感觉，勉励自己不断进取并发自内心的寻求更大的进步。进而达到教师的教育目的。合理使用“皮格马利翁效应”会在一定程度上增进学生的信心与学习动力。</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相对于智力因素而言，情感、意志、动机等被称作非智力因素。心理学认为，非智力因素虽与认知过程无直接关系，也不参与信息加工、处理等认知过程，但却制约着认知过程，是认知过程的动力所在，对认知过程起维持和调节作用。尤其值得注意的是，非智力因素不但可以影响智力因素的发展，还可以弥补人际交往等方面的不足。</w:t>
      </w:r>
      <w:r w:rsidRPr="00A77978">
        <w:rPr>
          <w:rFonts w:ascii="宋体" w:hAnsi="宋体" w:cs="宋体" w:hint="eastAsia"/>
          <w:sz w:val="24"/>
          <w:szCs w:val="28"/>
        </w:rPr>
        <w:lastRenderedPageBreak/>
        <w:t>“皮格马利翁效应”通过对非智力因素的激发，提升学生的自信心与内驱力，进而提高学生的学习成绩与学习兴趣。</w:t>
      </w:r>
    </w:p>
    <w:p w:rsidR="000446D8" w:rsidRPr="00A77978" w:rsidRDefault="00637DA4" w:rsidP="007977C5">
      <w:pPr>
        <w:spacing w:line="520" w:lineRule="exact"/>
        <w:ind w:firstLineChars="200" w:firstLine="482"/>
        <w:rPr>
          <w:rFonts w:ascii="宋体" w:hAnsi="宋体" w:cs="宋体"/>
          <w:b/>
          <w:bCs/>
          <w:sz w:val="24"/>
          <w:szCs w:val="28"/>
        </w:rPr>
      </w:pPr>
      <w:r w:rsidRPr="00A77978">
        <w:rPr>
          <w:rFonts w:ascii="宋体" w:hAnsi="宋体" w:cs="宋体" w:hint="eastAsia"/>
          <w:b/>
          <w:bCs/>
          <w:sz w:val="24"/>
          <w:szCs w:val="28"/>
        </w:rPr>
        <w:t xml:space="preserve">（2）现实意义 </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教学过程涉及知识、情感、行为等多个要素的变化。其中，情感在教学过程中的作用巨大。若师生情感交流顺畅，则完成教学目标也相对容易；若师生情感交流受阻，则教学目标的完成情况也会不尽如人意。“皮格马利翁效应”自提出以来，就有专家学者将其应用于教学实践，其现实意义体现在如下几个方面：</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sym w:font="Wingdings" w:char="F081"/>
      </w:r>
      <w:r w:rsidRPr="00A77978">
        <w:rPr>
          <w:rFonts w:ascii="宋体" w:hAnsi="宋体" w:cs="宋体" w:hint="eastAsia"/>
          <w:sz w:val="24"/>
          <w:szCs w:val="28"/>
        </w:rPr>
        <w:t xml:space="preserve">激励作用。教师对学生的期待不仅体现在教学过程中，在日常生活中教师的一言一行都会让学生与所察觉。学生会因教师的这份期待产生奋发向上的内驱力，并内化到自己的行为之中，朝着教师对自己期待的方向发展。 </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sym w:font="Wingdings" w:char="F082"/>
      </w:r>
      <w:r w:rsidRPr="00A77978">
        <w:rPr>
          <w:rFonts w:ascii="宋体" w:hAnsi="宋体" w:cs="宋体" w:hint="eastAsia"/>
          <w:sz w:val="24"/>
          <w:szCs w:val="28"/>
        </w:rPr>
        <w:t>调节作用。教师对学生产生期待，不但可以改善师生关系，还可以使师生关系处于平等、和谐的氛围之中。同时，学生也会将教师的期待内化</w:t>
      </w:r>
      <w:proofErr w:type="gramStart"/>
      <w:r w:rsidRPr="00A77978">
        <w:rPr>
          <w:rFonts w:ascii="宋体" w:hAnsi="宋体" w:cs="宋体" w:hint="eastAsia"/>
          <w:sz w:val="24"/>
          <w:szCs w:val="28"/>
        </w:rPr>
        <w:t>成行动</w:t>
      </w:r>
      <w:proofErr w:type="gramEnd"/>
      <w:r w:rsidRPr="00A77978">
        <w:rPr>
          <w:rFonts w:ascii="宋体" w:hAnsi="宋体" w:cs="宋体" w:hint="eastAsia"/>
          <w:sz w:val="24"/>
          <w:szCs w:val="28"/>
        </w:rPr>
        <w:t>并</w:t>
      </w:r>
      <w:proofErr w:type="gramStart"/>
      <w:r w:rsidRPr="00A77978">
        <w:rPr>
          <w:rFonts w:ascii="宋体" w:hAnsi="宋体" w:cs="宋体" w:hint="eastAsia"/>
          <w:sz w:val="24"/>
          <w:szCs w:val="28"/>
        </w:rPr>
        <w:t>作出</w:t>
      </w:r>
      <w:proofErr w:type="gramEnd"/>
      <w:r w:rsidRPr="00A77978">
        <w:rPr>
          <w:rFonts w:ascii="宋体" w:hAnsi="宋体" w:cs="宋体" w:hint="eastAsia"/>
          <w:sz w:val="24"/>
          <w:szCs w:val="28"/>
        </w:rPr>
        <w:t>回应。教师可根据学生所反馈的结果决定是维持原定期待，还是进行进一步调整以更适应学生的实际状况。</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sym w:font="Wingdings" w:char="F083"/>
      </w:r>
      <w:r w:rsidRPr="00A77978">
        <w:rPr>
          <w:rFonts w:ascii="宋体" w:hAnsi="宋体" w:cs="宋体" w:hint="eastAsia"/>
          <w:sz w:val="24"/>
          <w:szCs w:val="28"/>
        </w:rPr>
        <w:t xml:space="preserve">转化作用。每个人都是一个单独的个体，彼此之间都会存在认知、智力、情感等方面或多或少的差异，所以每个人对待同一件事物会有不同的表现。当然，表现有好有坏，而“皮格马利翁效应”要求教师对学生施以积极的期待，有助于学生朝着积极的表现转化，帮助学生逐步接近自我实现的目标。此外，“皮格马利翁效应”的有效运用还能促进教师教学观念的转变。 </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 xml:space="preserve">④支援作用。中职学生身心正处于青春期，也是心理发展的过渡时期。这一时期的学生经历生理和心理的双重变化，叛逆且内心不够成熟。对待学习和生活中的困难和问题无法做出正确及时的判断及有效处理。若此时学生能够体会到教师对自己的积极期待和心理支援，不但可以提升师生关系，还可以让学生对老师进一步敞开心扉，顺利地解决问题，满足学生的心理需求。总之，学生的成长与内心的成熟与教师倾情的付出有着密不可分的关系。 </w:t>
      </w:r>
    </w:p>
    <w:p w:rsidR="000446D8" w:rsidRDefault="00637DA4" w:rsidP="007977C5">
      <w:pPr>
        <w:spacing w:line="520" w:lineRule="exact"/>
        <w:ind w:firstLineChars="200" w:firstLine="562"/>
        <w:rPr>
          <w:rFonts w:ascii="宋体" w:hAnsi="宋体" w:cs="宋体"/>
          <w:b/>
          <w:bCs/>
          <w:sz w:val="28"/>
          <w:szCs w:val="28"/>
        </w:rPr>
      </w:pPr>
      <w:r>
        <w:rPr>
          <w:rFonts w:ascii="宋体" w:hAnsi="宋体" w:cs="宋体" w:hint="eastAsia"/>
          <w:b/>
          <w:bCs/>
          <w:sz w:val="28"/>
          <w:szCs w:val="28"/>
        </w:rPr>
        <w:t>2、动机理论</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lastRenderedPageBreak/>
        <w:t>英国心理学家戴·冯塔纳在他的《教师心理学》一书中明确指出：“缺少足够的动机是不可能在学校的学习中获得满意的结果的。”。</w:t>
      </w:r>
      <w:r w:rsidRPr="00A77978">
        <w:rPr>
          <w:rStyle w:val="a7"/>
          <w:rFonts w:ascii="宋体" w:hAnsi="宋体" w:cs="宋体" w:hint="eastAsia"/>
          <w:sz w:val="24"/>
          <w:szCs w:val="28"/>
        </w:rPr>
        <w:footnoteReference w:id="4"/>
      </w:r>
    </w:p>
    <w:p w:rsidR="000446D8" w:rsidRPr="00A77978" w:rsidRDefault="00637DA4" w:rsidP="007977C5">
      <w:pPr>
        <w:spacing w:line="520" w:lineRule="exact"/>
        <w:ind w:firstLineChars="200" w:firstLine="482"/>
        <w:rPr>
          <w:rFonts w:ascii="宋体" w:hAnsi="宋体" w:cs="宋体"/>
          <w:b/>
          <w:bCs/>
          <w:sz w:val="24"/>
          <w:szCs w:val="28"/>
        </w:rPr>
      </w:pPr>
      <w:r w:rsidRPr="00A77978">
        <w:rPr>
          <w:rFonts w:ascii="宋体" w:hAnsi="宋体" w:cs="宋体" w:hint="eastAsia"/>
          <w:b/>
          <w:bCs/>
          <w:sz w:val="24"/>
          <w:szCs w:val="28"/>
        </w:rPr>
        <w:t>（1）强化理论</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美国行为主义心理学家斯金纳的强化理论,也叫行为修正理论,</w:t>
      </w:r>
      <w:r w:rsidR="004C311B">
        <w:rPr>
          <w:rFonts w:ascii="宋体" w:hAnsi="宋体" w:cs="宋体" w:hint="eastAsia"/>
          <w:sz w:val="24"/>
          <w:szCs w:val="28"/>
        </w:rPr>
        <w:t>是以学习的强化原则为基础的关于理解和修正人的行为的一种学说</w:t>
      </w:r>
      <w:r w:rsidRPr="00A77978">
        <w:rPr>
          <w:rFonts w:ascii="宋体" w:hAnsi="宋体" w:cs="宋体" w:hint="eastAsia"/>
          <w:sz w:val="24"/>
          <w:szCs w:val="28"/>
        </w:rPr>
        <w:t>。强化理论具体应用的一些行为原则如下：</w:t>
      </w:r>
      <w:r w:rsidRPr="00A77978">
        <w:rPr>
          <w:rFonts w:ascii="宋体" w:hAnsi="宋体" w:cs="宋体" w:hint="eastAsia"/>
          <w:sz w:val="24"/>
          <w:szCs w:val="28"/>
        </w:rPr>
        <w:sym w:font="Wingdings" w:char="F081"/>
      </w:r>
      <w:r w:rsidRPr="00A77978">
        <w:rPr>
          <w:rFonts w:ascii="宋体" w:hAnsi="宋体" w:cs="宋体" w:hint="eastAsia"/>
          <w:sz w:val="24"/>
          <w:szCs w:val="28"/>
        </w:rPr>
        <w:t>经过强化的行为趋向于重复发生。所谓强化因素就是会使某种行为在将来重复发生的可能性增加的任何一种“后果”。例如,当某种行为的后果是受人称赞时,就增加了这种行为重复发生的可能性。</w:t>
      </w:r>
      <w:r w:rsidRPr="00A77978">
        <w:rPr>
          <w:rFonts w:ascii="宋体" w:hAnsi="宋体" w:cs="宋体" w:hint="eastAsia"/>
          <w:sz w:val="24"/>
          <w:szCs w:val="28"/>
        </w:rPr>
        <w:sym w:font="Wingdings" w:char="F082"/>
      </w:r>
      <w:r w:rsidRPr="00A77978">
        <w:rPr>
          <w:rFonts w:ascii="宋体" w:hAnsi="宋体" w:cs="宋体" w:hint="eastAsia"/>
          <w:sz w:val="24"/>
          <w:szCs w:val="28"/>
        </w:rPr>
        <w:t>要依照强化对象的不同采用不同的强化措施。人们的年龄、性别、学历、经历不同,需要就不同,强化方式也应不一样。如有的人更重视物质奖励,有的人更重视精神奖励,就应区分情况,采用不同的强化措施。</w:t>
      </w:r>
      <w:r w:rsidRPr="00A77978">
        <w:rPr>
          <w:rFonts w:ascii="宋体" w:hAnsi="宋体" w:cs="宋体" w:hint="eastAsia"/>
          <w:sz w:val="24"/>
          <w:szCs w:val="28"/>
        </w:rPr>
        <w:sym w:font="Wingdings" w:char="F083"/>
      </w:r>
      <w:r w:rsidRPr="00A77978">
        <w:rPr>
          <w:rFonts w:ascii="宋体" w:hAnsi="宋体" w:cs="宋体" w:hint="eastAsia"/>
          <w:sz w:val="24"/>
          <w:szCs w:val="28"/>
        </w:rPr>
        <w:t>正</w:t>
      </w:r>
      <w:proofErr w:type="gramStart"/>
      <w:r w:rsidRPr="00A77978">
        <w:rPr>
          <w:rFonts w:ascii="宋体" w:hAnsi="宋体" w:cs="宋体" w:hint="eastAsia"/>
          <w:sz w:val="24"/>
          <w:szCs w:val="28"/>
        </w:rPr>
        <w:t>强化比负强化</w:t>
      </w:r>
      <w:proofErr w:type="gramEnd"/>
      <w:r w:rsidRPr="00A77978">
        <w:rPr>
          <w:rFonts w:ascii="宋体" w:hAnsi="宋体" w:cs="宋体" w:hint="eastAsia"/>
          <w:sz w:val="24"/>
          <w:szCs w:val="28"/>
        </w:rPr>
        <w:t>更有效。在强化手段的运用上,应以正强化为主同时,必要时也要对坏的行为予以惩罚,做到奖惩结合。从教育上来看,如果学生的学习得到强化如得到好成绩、教师和家长的赞扬等,他们就会有学习的动机如果学生的学习没有得到强化如没得到好分数或赞扬就没有学习动机如果学生的学习受到惩罚如遭到同学或老师的嘲笑,则会产生避免学习的动机。</w:t>
      </w:r>
      <w:r w:rsidRPr="00A77978">
        <w:rPr>
          <w:rStyle w:val="a7"/>
          <w:rFonts w:ascii="宋体" w:hAnsi="宋体" w:cs="宋体" w:hint="eastAsia"/>
          <w:sz w:val="24"/>
          <w:szCs w:val="28"/>
        </w:rPr>
        <w:footnoteReference w:id="5"/>
      </w:r>
    </w:p>
    <w:p w:rsidR="000446D8" w:rsidRPr="00A77978" w:rsidRDefault="00637DA4" w:rsidP="007977C5">
      <w:pPr>
        <w:spacing w:line="520" w:lineRule="exact"/>
        <w:ind w:firstLineChars="200" w:firstLine="482"/>
        <w:rPr>
          <w:rFonts w:ascii="宋体" w:hAnsi="宋体" w:cs="宋体"/>
          <w:b/>
          <w:bCs/>
          <w:sz w:val="24"/>
          <w:szCs w:val="28"/>
        </w:rPr>
      </w:pPr>
      <w:r w:rsidRPr="00A77978">
        <w:rPr>
          <w:rFonts w:ascii="宋体" w:hAnsi="宋体" w:cs="宋体" w:hint="eastAsia"/>
          <w:b/>
          <w:bCs/>
          <w:sz w:val="24"/>
          <w:szCs w:val="28"/>
        </w:rPr>
        <w:t>（2）需要理论</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美国人本主义心理学家马斯洛</w:t>
      </w:r>
      <w:r w:rsidRPr="00A77978">
        <w:rPr>
          <w:rStyle w:val="a7"/>
          <w:rFonts w:ascii="宋体" w:hAnsi="宋体" w:cs="宋体" w:hint="eastAsia"/>
          <w:sz w:val="24"/>
          <w:szCs w:val="28"/>
        </w:rPr>
        <w:footnoteReference w:id="6"/>
      </w:r>
      <w:r w:rsidRPr="00A77978">
        <w:rPr>
          <w:rFonts w:ascii="宋体" w:hAnsi="宋体" w:cs="宋体" w:hint="eastAsia"/>
          <w:sz w:val="24"/>
          <w:szCs w:val="28"/>
        </w:rPr>
        <w:t>提出的需要层次学说倾向于由满足需要来解释动机这一概念。马斯洛的理论告诉我们,人们只有在满足低一层次的需要之后,才会试图满足高一层次的需要。施良方</w:t>
      </w:r>
      <w:r w:rsidRPr="00A77978">
        <w:rPr>
          <w:rFonts w:ascii="宋体" w:hAnsi="宋体" w:cs="宋体" w:hint="eastAsia"/>
          <w:sz w:val="24"/>
          <w:szCs w:val="28"/>
          <w:vertAlign w:val="superscript"/>
        </w:rPr>
        <w:footnoteReference w:id="7"/>
      </w:r>
      <w:r w:rsidRPr="00A77978">
        <w:rPr>
          <w:rFonts w:ascii="宋体" w:hAnsi="宋体" w:cs="宋体" w:hint="eastAsia"/>
          <w:sz w:val="24"/>
          <w:szCs w:val="28"/>
        </w:rPr>
        <w:t>说“一般来说,学校里最主要的缺失需要是爱和自尊。”如果学生感到没有被人爱,或认为自己无能,他们就不可能有强烈的动机去实现教育的目标。能够使学生感到很自在、被人所理解并受到尊重的教师,有可能使学生渴望学习,并愿意为创造新的和开放性的新观点承担些风险。教师期望把“尊重学生、热爱学生”作为原则,把教师对学生的爱化为学生可以感知和接受的具体的行为,使每一个学生找到归属感,使他们感到被老师、同学和</w:t>
      </w:r>
      <w:proofErr w:type="gramStart"/>
      <w:r w:rsidRPr="00A77978">
        <w:rPr>
          <w:rFonts w:ascii="宋体" w:hAnsi="宋体" w:cs="宋体" w:hint="eastAsia"/>
          <w:sz w:val="24"/>
          <w:szCs w:val="28"/>
        </w:rPr>
        <w:t>父母员</w:t>
      </w:r>
      <w:proofErr w:type="gramEnd"/>
      <w:r w:rsidRPr="00A77978">
        <w:rPr>
          <w:rFonts w:ascii="宋体" w:hAnsi="宋体" w:cs="宋体" w:hint="eastAsia"/>
          <w:sz w:val="24"/>
          <w:szCs w:val="28"/>
        </w:rPr>
        <w:t>,从而激发起他们的自尊与自信,以满足学</w:t>
      </w:r>
      <w:r w:rsidRPr="00A77978">
        <w:rPr>
          <w:rFonts w:ascii="宋体" w:hAnsi="宋体" w:cs="宋体" w:hint="eastAsia"/>
          <w:sz w:val="24"/>
          <w:szCs w:val="28"/>
        </w:rPr>
        <w:lastRenderedPageBreak/>
        <w:t>生爱和自尊的需求。因此,一方面要在现实的基础上大胆创新、勇于破除传统文化及教育观念的影响,大力倡导新的正确的学生观和师生关系观另一方面,要耐心、持之以恒地把对学生的爱化作实际的学生能感知、能接受的言行。这两方面都很重要,相辅相成,缺一不可。</w:t>
      </w:r>
    </w:p>
    <w:p w:rsidR="000446D8" w:rsidRPr="00A77978" w:rsidRDefault="00637DA4" w:rsidP="007977C5">
      <w:pPr>
        <w:spacing w:line="520" w:lineRule="exact"/>
        <w:ind w:firstLineChars="200" w:firstLine="482"/>
        <w:rPr>
          <w:rFonts w:ascii="宋体" w:hAnsi="宋体" w:cs="宋体"/>
          <w:b/>
          <w:bCs/>
          <w:sz w:val="24"/>
          <w:szCs w:val="28"/>
        </w:rPr>
      </w:pPr>
      <w:r w:rsidRPr="00A77978">
        <w:rPr>
          <w:rFonts w:ascii="宋体" w:hAnsi="宋体" w:cs="宋体" w:hint="eastAsia"/>
          <w:b/>
          <w:bCs/>
          <w:sz w:val="24"/>
          <w:szCs w:val="28"/>
        </w:rPr>
        <w:t>（3）期望理论</w:t>
      </w:r>
    </w:p>
    <w:p w:rsidR="002E76D2"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美国学习心理学家阿特金森的期望动机理论主要是以这样一个公式为基础的：</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动机=估计的成功的概率*成功的诱因价值</w:t>
      </w:r>
      <w:r w:rsidRPr="00A77978">
        <w:rPr>
          <w:rStyle w:val="a7"/>
          <w:rFonts w:ascii="宋体" w:hAnsi="宋体" w:cs="宋体" w:hint="eastAsia"/>
          <w:sz w:val="24"/>
          <w:szCs w:val="28"/>
        </w:rPr>
        <w:footnoteReference w:id="8"/>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这个公式又称为“期望模式”或“期望——诱发力模式”。这个模式告诉我们：一个人做某件事的动机,取决于他对自己成功机会的估计,以及他对成功价值的评估。在教育教学中,学生从事某项学习活动动机的强弱,取决于他对获得成功可能性大小的估计与他对成功价值大小的评估的乘积。其中有一项大,就会影响到学生动机强；如果其中有一项小,也会影响到动机</w:t>
      </w:r>
      <w:proofErr w:type="gramStart"/>
      <w:r w:rsidRPr="00A77978">
        <w:rPr>
          <w:rFonts w:ascii="宋体" w:hAnsi="宋体" w:cs="宋体" w:hint="eastAsia"/>
          <w:sz w:val="24"/>
          <w:szCs w:val="28"/>
        </w:rPr>
        <w:t>弱如果</w:t>
      </w:r>
      <w:proofErr w:type="gramEnd"/>
      <w:r w:rsidRPr="00A77978">
        <w:rPr>
          <w:rFonts w:ascii="宋体" w:hAnsi="宋体" w:cs="宋体" w:hint="eastAsia"/>
          <w:sz w:val="24"/>
          <w:szCs w:val="28"/>
        </w:rPr>
        <w:t>其中有一项零,他认为没有学好的可能性,或认为学了也没有什么价值,那么他的学习动机就可能是零。在公式中,最值得注意的是“乘”,它意味着,如果一个人认为成功的机会等于零,那么成功的价值再大,动机也等于零；</w:t>
      </w:r>
      <w:proofErr w:type="gramStart"/>
      <w:r w:rsidRPr="00A77978">
        <w:rPr>
          <w:rFonts w:ascii="宋体" w:hAnsi="宋体" w:cs="宋体" w:hint="eastAsia"/>
          <w:sz w:val="24"/>
          <w:szCs w:val="28"/>
        </w:rPr>
        <w:t>反之,</w:t>
      </w:r>
      <w:proofErr w:type="gramEnd"/>
      <w:r w:rsidRPr="00A77978">
        <w:rPr>
          <w:rFonts w:ascii="宋体" w:hAnsi="宋体" w:cs="宋体" w:hint="eastAsia"/>
          <w:sz w:val="24"/>
          <w:szCs w:val="28"/>
        </w:rPr>
        <w:t>如果认为成功了也无任何价值,那么,成功的机会再多,动机也等于零。期望理论还告诉我们：在某些情况下,成功的概率太高对动机是有害的。只有当成功的概率处于适中状态时,才会有最强的动机</w:t>
      </w:r>
      <w:r w:rsidRPr="00A77978">
        <w:rPr>
          <w:rStyle w:val="a7"/>
          <w:rFonts w:ascii="宋体" w:hAnsi="宋体" w:cs="宋体" w:hint="eastAsia"/>
          <w:sz w:val="24"/>
          <w:szCs w:val="28"/>
        </w:rPr>
        <w:footnoteReference w:id="9"/>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学生的期望动机取决于学生对自己成功机会的估计,这些估计和评估是学生的主观认识。在教育中,教师是通过提高学生自信和指导学生认识成功进行自我估计和评价的。教师为了诱发学生最强的动机而设置适当的成功概率则是其激发学生期望动机的重要手段之一。</w:t>
      </w:r>
    </w:p>
    <w:p w:rsidR="000446D8" w:rsidRPr="00A77978" w:rsidRDefault="00637DA4" w:rsidP="007977C5">
      <w:pPr>
        <w:spacing w:line="520" w:lineRule="exact"/>
        <w:rPr>
          <w:rFonts w:ascii="宋体" w:hAnsi="宋体" w:cs="宋体"/>
          <w:b/>
          <w:sz w:val="30"/>
          <w:szCs w:val="30"/>
        </w:rPr>
      </w:pPr>
      <w:r w:rsidRPr="00A77978">
        <w:rPr>
          <w:rFonts w:ascii="宋体" w:hAnsi="宋体" w:cs="宋体" w:hint="eastAsia"/>
          <w:b/>
          <w:sz w:val="30"/>
          <w:szCs w:val="30"/>
        </w:rPr>
        <w:t>（五）研究的目标、内容（或子课题设计）与重点</w:t>
      </w:r>
    </w:p>
    <w:p w:rsidR="000446D8" w:rsidRDefault="00637DA4" w:rsidP="007977C5">
      <w:pPr>
        <w:spacing w:line="520" w:lineRule="exact"/>
        <w:ind w:firstLineChars="200" w:firstLine="562"/>
        <w:rPr>
          <w:rFonts w:ascii="宋体" w:hAnsi="宋体" w:cs="宋体"/>
          <w:b/>
          <w:bCs/>
          <w:sz w:val="28"/>
          <w:szCs w:val="28"/>
        </w:rPr>
      </w:pPr>
      <w:r>
        <w:rPr>
          <w:rFonts w:ascii="宋体" w:hAnsi="宋体" w:cs="宋体" w:hint="eastAsia"/>
          <w:b/>
          <w:bCs/>
          <w:sz w:val="28"/>
          <w:szCs w:val="28"/>
        </w:rPr>
        <w:t>1.研究目标</w:t>
      </w:r>
    </w:p>
    <w:p w:rsidR="000446D8" w:rsidRPr="00A77978" w:rsidRDefault="00637DA4" w:rsidP="007977C5">
      <w:pPr>
        <w:spacing w:line="520" w:lineRule="exact"/>
        <w:ind w:firstLine="561"/>
        <w:rPr>
          <w:rFonts w:ascii="宋体" w:hAnsi="宋体" w:cs="宋体"/>
          <w:color w:val="000000"/>
          <w:kern w:val="0"/>
          <w:sz w:val="24"/>
          <w:szCs w:val="28"/>
        </w:rPr>
      </w:pPr>
      <w:r w:rsidRPr="00A77978">
        <w:rPr>
          <w:rFonts w:hint="eastAsia"/>
          <w:sz w:val="24"/>
          <w:szCs w:val="28"/>
        </w:rPr>
        <w:t>通过研究“皮格马利翁”效应在中职英语听说课中的应用研究，</w:t>
      </w:r>
      <w:r w:rsidRPr="00A77978">
        <w:rPr>
          <w:rFonts w:ascii="宋体" w:hAnsi="宋体" w:cs="宋体" w:hint="eastAsia"/>
          <w:color w:val="000000"/>
          <w:kern w:val="0"/>
          <w:sz w:val="24"/>
          <w:szCs w:val="28"/>
        </w:rPr>
        <w:t>激发中职学生英语学习兴趣，使学生热爱学习，提高英语听说能力，提高英语学习成绩。</w:t>
      </w:r>
    </w:p>
    <w:p w:rsidR="000446D8" w:rsidRDefault="00637DA4" w:rsidP="007977C5">
      <w:pPr>
        <w:spacing w:line="520" w:lineRule="exact"/>
        <w:ind w:firstLineChars="200" w:firstLine="562"/>
        <w:rPr>
          <w:rFonts w:ascii="宋体" w:hAnsi="宋体" w:cs="宋体"/>
          <w:b/>
          <w:bCs/>
          <w:sz w:val="28"/>
          <w:szCs w:val="28"/>
        </w:rPr>
      </w:pPr>
      <w:r>
        <w:rPr>
          <w:rFonts w:ascii="宋体" w:hAnsi="宋体" w:cs="宋体" w:hint="eastAsia"/>
          <w:b/>
          <w:bCs/>
          <w:sz w:val="28"/>
          <w:szCs w:val="28"/>
        </w:rPr>
        <w:lastRenderedPageBreak/>
        <w:t>2.研究内容</w:t>
      </w:r>
    </w:p>
    <w:p w:rsidR="005C16AD" w:rsidRDefault="005C16AD" w:rsidP="007977C5">
      <w:pPr>
        <w:spacing w:line="520" w:lineRule="exact"/>
        <w:ind w:rightChars="-51" w:right="-107" w:firstLineChars="200" w:firstLine="480"/>
        <w:rPr>
          <w:rFonts w:ascii="宋体" w:hAnsi="宋体" w:hint="eastAsia"/>
          <w:sz w:val="24"/>
        </w:rPr>
      </w:pPr>
      <w:r>
        <w:rPr>
          <w:rFonts w:ascii="宋体" w:hAnsi="宋体" w:hint="eastAsia"/>
          <w:sz w:val="24"/>
        </w:rPr>
        <w:t>（1）对口单招</w:t>
      </w:r>
      <w:r w:rsidR="001623A5">
        <w:rPr>
          <w:rFonts w:ascii="宋体" w:hAnsi="宋体" w:hint="eastAsia"/>
          <w:sz w:val="24"/>
        </w:rPr>
        <w:t>学生在英语听说的学习现状分析</w:t>
      </w:r>
      <w:r>
        <w:rPr>
          <w:rFonts w:ascii="宋体" w:hAnsi="宋体" w:hint="eastAsia"/>
          <w:sz w:val="24"/>
        </w:rPr>
        <w:t>；</w:t>
      </w:r>
    </w:p>
    <w:p w:rsidR="001623A5" w:rsidRDefault="001623A5" w:rsidP="007977C5">
      <w:pPr>
        <w:spacing w:line="520" w:lineRule="exact"/>
        <w:ind w:rightChars="-51" w:right="-107" w:firstLineChars="200" w:firstLine="480"/>
        <w:rPr>
          <w:rFonts w:ascii="宋体" w:hAnsi="宋体" w:hint="eastAsia"/>
          <w:sz w:val="24"/>
        </w:rPr>
      </w:pPr>
      <w:r>
        <w:rPr>
          <w:rFonts w:ascii="宋体" w:hAnsi="宋体" w:hint="eastAsia"/>
          <w:sz w:val="24"/>
        </w:rPr>
        <w:t>（2）“皮格马利翁”效应应用在对口单招英语听说课中的途径和方法；</w:t>
      </w:r>
    </w:p>
    <w:p w:rsidR="001623A5" w:rsidRPr="001623A5" w:rsidRDefault="001623A5" w:rsidP="007977C5">
      <w:pPr>
        <w:spacing w:line="520" w:lineRule="exact"/>
        <w:ind w:rightChars="-51" w:right="-107" w:firstLineChars="200" w:firstLine="480"/>
        <w:rPr>
          <w:rFonts w:ascii="宋体" w:hAnsi="宋体"/>
          <w:sz w:val="24"/>
        </w:rPr>
      </w:pPr>
      <w:r>
        <w:rPr>
          <w:rFonts w:ascii="宋体" w:hAnsi="宋体" w:hint="eastAsia"/>
          <w:sz w:val="24"/>
        </w:rPr>
        <w:t>（3）</w:t>
      </w:r>
      <w:r>
        <w:rPr>
          <w:rFonts w:ascii="宋体" w:hAnsi="宋体" w:hint="eastAsia"/>
          <w:sz w:val="24"/>
        </w:rPr>
        <w:t>“皮格马利翁”效应</w:t>
      </w:r>
      <w:r>
        <w:rPr>
          <w:rFonts w:ascii="宋体" w:hAnsi="宋体" w:hint="eastAsia"/>
          <w:sz w:val="24"/>
        </w:rPr>
        <w:t>运用时出现的问题和对策；</w:t>
      </w:r>
    </w:p>
    <w:p w:rsidR="005C16AD" w:rsidRDefault="005C16AD" w:rsidP="007977C5">
      <w:pPr>
        <w:spacing w:line="520" w:lineRule="exact"/>
        <w:ind w:rightChars="-51" w:right="-107" w:firstLineChars="200" w:firstLine="480"/>
        <w:rPr>
          <w:rFonts w:ascii="宋体" w:hAnsi="宋体"/>
          <w:sz w:val="24"/>
        </w:rPr>
      </w:pPr>
      <w:r>
        <w:rPr>
          <w:rFonts w:ascii="宋体" w:hAnsi="宋体" w:hint="eastAsia"/>
          <w:sz w:val="24"/>
        </w:rPr>
        <w:t>（</w:t>
      </w:r>
      <w:r w:rsidR="001623A5">
        <w:rPr>
          <w:rFonts w:ascii="宋体" w:hAnsi="宋体" w:hint="eastAsia"/>
          <w:sz w:val="24"/>
        </w:rPr>
        <w:t>4</w:t>
      </w:r>
      <w:r>
        <w:rPr>
          <w:rFonts w:ascii="宋体" w:hAnsi="宋体" w:hint="eastAsia"/>
          <w:sz w:val="24"/>
        </w:rPr>
        <w:t>）</w:t>
      </w:r>
      <w:r w:rsidR="001623A5">
        <w:rPr>
          <w:rFonts w:ascii="宋体" w:hAnsi="宋体" w:hint="eastAsia"/>
          <w:sz w:val="24"/>
        </w:rPr>
        <w:t>对口单招英语听说课的评价机制</w:t>
      </w:r>
      <w:r>
        <w:rPr>
          <w:rFonts w:ascii="宋体" w:hAnsi="宋体" w:hint="eastAsia"/>
          <w:sz w:val="24"/>
        </w:rPr>
        <w:t>。</w:t>
      </w:r>
    </w:p>
    <w:p w:rsidR="000446D8" w:rsidRDefault="00637DA4" w:rsidP="007977C5">
      <w:pPr>
        <w:spacing w:line="520" w:lineRule="exact"/>
        <w:ind w:firstLineChars="200" w:firstLine="562"/>
        <w:rPr>
          <w:rFonts w:ascii="宋体" w:hAnsi="宋体" w:cs="宋体"/>
          <w:b/>
          <w:bCs/>
          <w:sz w:val="28"/>
          <w:szCs w:val="28"/>
        </w:rPr>
      </w:pPr>
      <w:r>
        <w:rPr>
          <w:rFonts w:ascii="宋体" w:hAnsi="宋体" w:cs="宋体" w:hint="eastAsia"/>
          <w:b/>
          <w:bCs/>
          <w:sz w:val="28"/>
          <w:szCs w:val="28"/>
        </w:rPr>
        <w:t>3.研究重点</w:t>
      </w:r>
    </w:p>
    <w:p w:rsidR="000446D8" w:rsidRPr="00A77978" w:rsidRDefault="00637DA4" w:rsidP="007977C5">
      <w:pPr>
        <w:spacing w:line="520" w:lineRule="exact"/>
        <w:ind w:firstLineChars="200" w:firstLine="480"/>
        <w:rPr>
          <w:sz w:val="24"/>
          <w:szCs w:val="28"/>
        </w:rPr>
      </w:pPr>
      <w:r w:rsidRPr="00A77978">
        <w:rPr>
          <w:rFonts w:hint="eastAsia"/>
          <w:sz w:val="24"/>
          <w:szCs w:val="28"/>
        </w:rPr>
        <w:t>本课题重点是教师期望对中职学生的英语听说能力和兴趣存在的差异性和成因进行思辨性和对策性的实证研究。</w:t>
      </w:r>
    </w:p>
    <w:p w:rsidR="000446D8" w:rsidRPr="00A77978" w:rsidRDefault="00637DA4" w:rsidP="007977C5">
      <w:pPr>
        <w:spacing w:line="520" w:lineRule="exact"/>
        <w:rPr>
          <w:rFonts w:ascii="宋体" w:hAnsi="宋体" w:cs="宋体"/>
          <w:b/>
          <w:sz w:val="30"/>
          <w:szCs w:val="30"/>
        </w:rPr>
      </w:pPr>
      <w:r w:rsidRPr="00A77978">
        <w:rPr>
          <w:rFonts w:ascii="宋体" w:hAnsi="宋体" w:cs="宋体" w:hint="eastAsia"/>
          <w:b/>
          <w:sz w:val="30"/>
          <w:szCs w:val="30"/>
        </w:rPr>
        <w:t>（六）研究的思路、过程与方法</w:t>
      </w:r>
    </w:p>
    <w:p w:rsidR="000446D8" w:rsidRDefault="00637DA4" w:rsidP="007977C5">
      <w:pPr>
        <w:spacing w:line="520" w:lineRule="exact"/>
        <w:ind w:firstLineChars="200" w:firstLine="562"/>
        <w:rPr>
          <w:rFonts w:ascii="宋体" w:hAnsi="宋体" w:cs="宋体"/>
          <w:b/>
          <w:bCs/>
          <w:sz w:val="28"/>
          <w:szCs w:val="28"/>
        </w:rPr>
      </w:pPr>
      <w:r>
        <w:rPr>
          <w:rFonts w:ascii="宋体" w:hAnsi="宋体" w:cs="宋体" w:hint="eastAsia"/>
          <w:b/>
          <w:bCs/>
          <w:sz w:val="28"/>
          <w:szCs w:val="28"/>
        </w:rPr>
        <w:t>1、研究思路</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 xml:space="preserve">本研究做到理论与实证相结合，在借鉴大量文献资料的基础上，对当前中职英语听说课的现状进行了具体研究，明确“皮格马利翁”效应在中职英语听说课中的应用研究的价值及具体内容，确定“皮格马利翁”效应在中职英语听说课中的应用研究的理论依据及实施途径。然后，采用问卷调查法、访谈法等方法对昆山花桥国际商务城中等专业学校的学生和教师进行调查或访谈，结合教育期间的观察与体悟，了解目前“皮格马利翁”效应在中职英语听说课中的应用的影响因素、现状与问题，围绕中职英语听说教学过程中存在的问题，提出在英语听说课内外有效运用教师期望的具体对策，以期为中职学校进一步加强英语听说课中“皮格马利翁效应”的运用提供有价值的参考。 </w:t>
      </w:r>
    </w:p>
    <w:p w:rsidR="000446D8" w:rsidRDefault="00637DA4" w:rsidP="007977C5">
      <w:pPr>
        <w:spacing w:line="520" w:lineRule="exact"/>
        <w:ind w:firstLineChars="200" w:firstLine="562"/>
        <w:rPr>
          <w:rFonts w:ascii="宋体" w:hAnsi="宋体" w:cs="宋体"/>
          <w:b/>
          <w:bCs/>
          <w:sz w:val="28"/>
          <w:szCs w:val="28"/>
        </w:rPr>
      </w:pPr>
      <w:r>
        <w:rPr>
          <w:rFonts w:ascii="宋体" w:hAnsi="宋体" w:cs="宋体" w:hint="eastAsia"/>
          <w:b/>
          <w:bCs/>
          <w:sz w:val="28"/>
          <w:szCs w:val="28"/>
        </w:rPr>
        <w:t>2、研究过程</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 xml:space="preserve">本课题研究计划用时一年，分四个阶段。 </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 xml:space="preserve">第一阶段：准备阶段，2017年10月至2017年11月；填写课题评审书，制定研究计划，上报开题报告。 </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第二阶段，实施阶段，2017年11月至2018年4月：获取资料阶段。通过发放调查问卷、交流座谈等方式，获取影响</w:t>
      </w:r>
      <w:r w:rsidR="001623A5">
        <w:rPr>
          <w:rFonts w:ascii="宋体" w:hAnsi="宋体" w:cs="宋体" w:hint="eastAsia"/>
          <w:sz w:val="24"/>
          <w:szCs w:val="28"/>
        </w:rPr>
        <w:t>学生学习</w:t>
      </w:r>
      <w:r w:rsidRPr="00A77978">
        <w:rPr>
          <w:rFonts w:ascii="宋体" w:hAnsi="宋体" w:cs="宋体" w:hint="eastAsia"/>
          <w:sz w:val="24"/>
          <w:szCs w:val="28"/>
        </w:rPr>
        <w:t>积极性的第一手可信性资料；2018年1月至4月，用4个月时间，整理、研究分析调查资料，探究影响教师教学积极性的根</w:t>
      </w:r>
      <w:r w:rsidRPr="00A77978">
        <w:rPr>
          <w:rFonts w:ascii="宋体" w:hAnsi="宋体" w:cs="宋体" w:hint="eastAsia"/>
          <w:sz w:val="24"/>
          <w:szCs w:val="28"/>
        </w:rPr>
        <w:lastRenderedPageBreak/>
        <w:t xml:space="preserve">本原因，形成初步理论材料，印发给研究小组人员及大部分教师，让他们阅读，提出意见和建议，进一步确定结论的准确性。 </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第三阶段，结题阶段，2018年4至5月：形成结论阶段。将形成的初步材料，结合教师、小组成员提出的意见建议，进一步研究分析，去伪存真，精炼升华，完成《“皮格马利翁”效应在中职英语听说课中的应用研究报告》。</w:t>
      </w:r>
    </w:p>
    <w:p w:rsidR="000446D8" w:rsidRDefault="00637DA4" w:rsidP="007977C5">
      <w:pPr>
        <w:spacing w:line="520" w:lineRule="exact"/>
        <w:ind w:firstLineChars="200" w:firstLine="562"/>
        <w:rPr>
          <w:rFonts w:ascii="宋体" w:hAnsi="宋体" w:cs="宋体"/>
          <w:b/>
          <w:bCs/>
          <w:sz w:val="28"/>
          <w:szCs w:val="28"/>
        </w:rPr>
      </w:pPr>
      <w:r>
        <w:rPr>
          <w:rFonts w:ascii="宋体" w:hAnsi="宋体" w:cs="宋体" w:hint="eastAsia"/>
          <w:b/>
          <w:bCs/>
          <w:sz w:val="28"/>
          <w:szCs w:val="28"/>
        </w:rPr>
        <w:t>3、研究方法</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（1）文献研究法</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首先，运用文献研究法，分析研究“皮格马利翁”效应在中职英语听说课中的应用研究的理论等相关内容，了解“皮格马利翁”效应在中职英语听说课中的应用研究在国内外的发展趋势。然后，在搜集、整理、比较、分析的基础上，对“皮格马利翁”效应、中职英语、听说课的内涵与外延</w:t>
      </w:r>
      <w:proofErr w:type="gramStart"/>
      <w:r w:rsidRPr="00A77978">
        <w:rPr>
          <w:rFonts w:ascii="宋体" w:hAnsi="宋体" w:cs="宋体" w:hint="eastAsia"/>
          <w:sz w:val="24"/>
          <w:szCs w:val="28"/>
        </w:rPr>
        <w:t>作出</w:t>
      </w:r>
      <w:proofErr w:type="gramEnd"/>
      <w:r w:rsidRPr="00A77978">
        <w:rPr>
          <w:rFonts w:ascii="宋体" w:hAnsi="宋体" w:cs="宋体" w:hint="eastAsia"/>
          <w:sz w:val="24"/>
          <w:szCs w:val="28"/>
        </w:rPr>
        <w:t>科学的界定，对“皮格马利翁”效应在中职英语听说课中的应用研究的具体目标进行准确的描述，为课题研究的推进，提供充实可靠的理论支持。</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（2）调查研究法</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主要运用调查研究法，结合访谈法，对昆山花桥国际商务城中等专业学校的学生和教师进行调查或访谈，研究“皮格马利翁”效应在中职英语听说课中的应用研究的价值、内容、影响因素、存在的问题与解决对策等。综合运用各种调查方法和手段，有计划、有步骤地调查涉及“皮格马利翁”效应在中职英语听说课中的应用研究的各种因素。</w:t>
      </w:r>
    </w:p>
    <w:p w:rsidR="00995D70" w:rsidRDefault="00995D70" w:rsidP="007977C5">
      <w:pPr>
        <w:spacing w:line="520" w:lineRule="exact"/>
        <w:ind w:firstLineChars="200" w:firstLine="480"/>
        <w:rPr>
          <w:rFonts w:ascii="宋体" w:hAnsi="宋体" w:cs="宋体" w:hint="eastAsia"/>
          <w:sz w:val="24"/>
          <w:szCs w:val="28"/>
        </w:rPr>
      </w:pPr>
      <w:r>
        <w:rPr>
          <w:rFonts w:ascii="宋体" w:hAnsi="宋体" w:cs="宋体" w:hint="eastAsia"/>
          <w:sz w:val="24"/>
          <w:szCs w:val="28"/>
        </w:rPr>
        <w:t>（</w:t>
      </w:r>
      <w:r w:rsidR="001623A5">
        <w:rPr>
          <w:rFonts w:ascii="宋体" w:hAnsi="宋体" w:cs="宋体" w:hint="eastAsia"/>
          <w:sz w:val="24"/>
          <w:szCs w:val="28"/>
        </w:rPr>
        <w:t>3</w:t>
      </w:r>
      <w:r>
        <w:rPr>
          <w:rFonts w:ascii="宋体" w:hAnsi="宋体" w:cs="宋体" w:hint="eastAsia"/>
          <w:sz w:val="24"/>
          <w:szCs w:val="28"/>
        </w:rPr>
        <w:t>）</w:t>
      </w:r>
      <w:r w:rsidRPr="00995D70">
        <w:rPr>
          <w:rFonts w:ascii="宋体" w:hAnsi="宋体" w:cs="宋体" w:hint="eastAsia"/>
          <w:sz w:val="24"/>
          <w:szCs w:val="28"/>
        </w:rPr>
        <w:t>个案研究法</w:t>
      </w:r>
    </w:p>
    <w:p w:rsidR="00995D70" w:rsidRDefault="00995D70" w:rsidP="00995D70">
      <w:pPr>
        <w:spacing w:line="520" w:lineRule="exact"/>
        <w:ind w:firstLineChars="200" w:firstLine="480"/>
        <w:rPr>
          <w:rFonts w:ascii="宋体" w:hAnsi="宋体" w:cs="宋体" w:hint="eastAsia"/>
          <w:sz w:val="24"/>
          <w:szCs w:val="28"/>
        </w:rPr>
      </w:pPr>
      <w:r>
        <w:rPr>
          <w:rFonts w:ascii="宋体" w:hAnsi="宋体" w:cs="宋体" w:hint="eastAsia"/>
          <w:sz w:val="24"/>
          <w:szCs w:val="28"/>
        </w:rPr>
        <w:t>通过</w:t>
      </w:r>
      <w:r>
        <w:rPr>
          <w:rFonts w:ascii="宋体" w:hAnsi="宋体" w:cs="宋体" w:hint="eastAsia"/>
          <w:sz w:val="24"/>
          <w:szCs w:val="28"/>
        </w:rPr>
        <w:t>一年时间</w:t>
      </w:r>
      <w:r>
        <w:rPr>
          <w:rFonts w:ascii="宋体" w:hAnsi="宋体" w:cs="宋体" w:hint="eastAsia"/>
          <w:sz w:val="24"/>
          <w:szCs w:val="28"/>
        </w:rPr>
        <w:t>，对昆山花桥国际商务城中等专业学校的对口单招学生连续进行调查，</w:t>
      </w:r>
      <w:r w:rsidRPr="00995D70">
        <w:rPr>
          <w:rFonts w:ascii="宋体" w:hAnsi="宋体" w:cs="宋体" w:hint="eastAsia"/>
          <w:sz w:val="24"/>
          <w:szCs w:val="28"/>
        </w:rPr>
        <w:t>研究其行为</w:t>
      </w:r>
      <w:r>
        <w:rPr>
          <w:rFonts w:ascii="宋体" w:hAnsi="宋体" w:cs="宋体" w:hint="eastAsia"/>
          <w:sz w:val="24"/>
          <w:szCs w:val="28"/>
        </w:rPr>
        <w:t>在教师期望应用前后的</w:t>
      </w:r>
      <w:r w:rsidRPr="00995D70">
        <w:rPr>
          <w:rFonts w:ascii="宋体" w:hAnsi="宋体" w:cs="宋体" w:hint="eastAsia"/>
          <w:sz w:val="24"/>
          <w:szCs w:val="28"/>
        </w:rPr>
        <w:t>发展变化的全过程</w:t>
      </w:r>
      <w:r>
        <w:rPr>
          <w:rFonts w:ascii="宋体" w:hAnsi="宋体" w:cs="宋体" w:hint="eastAsia"/>
          <w:sz w:val="24"/>
          <w:szCs w:val="28"/>
        </w:rPr>
        <w:t>。</w:t>
      </w:r>
    </w:p>
    <w:p w:rsidR="00995D70" w:rsidRDefault="00995D70" w:rsidP="00995D70">
      <w:pPr>
        <w:spacing w:line="520" w:lineRule="exact"/>
        <w:ind w:firstLineChars="200" w:firstLine="480"/>
        <w:rPr>
          <w:rFonts w:ascii="宋体" w:hAnsi="宋体" w:cs="宋体" w:hint="eastAsia"/>
          <w:sz w:val="24"/>
          <w:szCs w:val="28"/>
        </w:rPr>
      </w:pPr>
      <w:r>
        <w:rPr>
          <w:rFonts w:ascii="宋体" w:hAnsi="宋体" w:cs="宋体" w:hint="eastAsia"/>
          <w:sz w:val="24"/>
          <w:szCs w:val="28"/>
        </w:rPr>
        <w:t>（</w:t>
      </w:r>
      <w:r w:rsidR="001623A5">
        <w:rPr>
          <w:rFonts w:ascii="宋体" w:hAnsi="宋体" w:cs="宋体" w:hint="eastAsia"/>
          <w:sz w:val="24"/>
          <w:szCs w:val="28"/>
        </w:rPr>
        <w:t>4</w:t>
      </w:r>
      <w:r>
        <w:rPr>
          <w:rFonts w:ascii="宋体" w:hAnsi="宋体" w:cs="宋体" w:hint="eastAsia"/>
          <w:sz w:val="24"/>
          <w:szCs w:val="28"/>
        </w:rPr>
        <w:t>）</w:t>
      </w:r>
      <w:r w:rsidRPr="00995D70">
        <w:rPr>
          <w:rFonts w:ascii="宋体" w:hAnsi="宋体" w:cs="宋体" w:hint="eastAsia"/>
          <w:sz w:val="24"/>
          <w:szCs w:val="28"/>
        </w:rPr>
        <w:t>对比研究</w:t>
      </w:r>
      <w:r>
        <w:rPr>
          <w:rFonts w:ascii="宋体" w:hAnsi="宋体" w:cs="宋体" w:hint="eastAsia"/>
          <w:sz w:val="24"/>
          <w:szCs w:val="28"/>
        </w:rPr>
        <w:t>法</w:t>
      </w:r>
    </w:p>
    <w:p w:rsidR="00995D70" w:rsidRPr="00A77978" w:rsidRDefault="00995D70" w:rsidP="00995D70">
      <w:pPr>
        <w:spacing w:line="520" w:lineRule="exact"/>
        <w:ind w:firstLineChars="200" w:firstLine="480"/>
        <w:rPr>
          <w:rFonts w:ascii="宋体" w:hAnsi="宋体" w:cs="宋体"/>
          <w:sz w:val="24"/>
          <w:szCs w:val="28"/>
        </w:rPr>
      </w:pPr>
      <w:r>
        <w:rPr>
          <w:rFonts w:ascii="宋体" w:hAnsi="宋体" w:cs="宋体" w:hint="eastAsia"/>
          <w:sz w:val="24"/>
          <w:szCs w:val="28"/>
        </w:rPr>
        <w:t>将研究之</w:t>
      </w:r>
      <w:proofErr w:type="gramStart"/>
      <w:r>
        <w:rPr>
          <w:rFonts w:ascii="宋体" w:hAnsi="宋体" w:cs="宋体" w:hint="eastAsia"/>
          <w:sz w:val="24"/>
          <w:szCs w:val="28"/>
        </w:rPr>
        <w:t>初所得</w:t>
      </w:r>
      <w:proofErr w:type="gramEnd"/>
      <w:r>
        <w:rPr>
          <w:rFonts w:ascii="宋体" w:hAnsi="宋体" w:cs="宋体" w:hint="eastAsia"/>
          <w:sz w:val="24"/>
          <w:szCs w:val="28"/>
        </w:rPr>
        <w:t>的研究数据与研究后期的研究数据进行对比，得出“皮格马利翁”效应对于对口单招英语听说教学的影响。</w:t>
      </w:r>
    </w:p>
    <w:p w:rsidR="000446D8" w:rsidRPr="00A77978" w:rsidRDefault="00637DA4" w:rsidP="007977C5">
      <w:pPr>
        <w:spacing w:line="520" w:lineRule="exact"/>
        <w:ind w:firstLineChars="200" w:firstLine="480"/>
        <w:rPr>
          <w:rFonts w:ascii="宋体" w:hAnsi="宋体" w:cs="宋体"/>
          <w:sz w:val="24"/>
          <w:szCs w:val="28"/>
        </w:rPr>
      </w:pPr>
      <w:r w:rsidRPr="00A77978">
        <w:rPr>
          <w:rFonts w:ascii="宋体" w:hAnsi="宋体" w:cs="宋体" w:hint="eastAsia"/>
          <w:sz w:val="24"/>
          <w:szCs w:val="28"/>
        </w:rPr>
        <w:t>在研究的各个阶段，综合运用以上研究方法，将理论研究与实践有机结合起来，</w:t>
      </w:r>
      <w:r w:rsidRPr="00A77978">
        <w:rPr>
          <w:rFonts w:ascii="宋体" w:hAnsi="宋体" w:cs="宋体" w:hint="eastAsia"/>
          <w:sz w:val="24"/>
          <w:szCs w:val="28"/>
        </w:rPr>
        <w:lastRenderedPageBreak/>
        <w:t>开展本课题研究。</w:t>
      </w:r>
    </w:p>
    <w:p w:rsidR="000446D8" w:rsidRPr="00A77978" w:rsidRDefault="00637DA4" w:rsidP="007977C5">
      <w:pPr>
        <w:spacing w:line="520" w:lineRule="exact"/>
        <w:rPr>
          <w:rFonts w:ascii="宋体" w:hAnsi="宋体" w:cs="宋体"/>
          <w:b/>
          <w:sz w:val="30"/>
          <w:szCs w:val="30"/>
        </w:rPr>
      </w:pPr>
      <w:r w:rsidRPr="00A77978">
        <w:rPr>
          <w:rFonts w:ascii="宋体" w:hAnsi="宋体" w:cs="宋体" w:hint="eastAsia"/>
          <w:b/>
          <w:sz w:val="30"/>
          <w:szCs w:val="30"/>
        </w:rPr>
        <w:t>（七）预期研究成果</w:t>
      </w:r>
    </w:p>
    <w:tbl>
      <w:tblPr>
        <w:tblW w:w="9900"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56"/>
        <w:gridCol w:w="3063"/>
        <w:gridCol w:w="1740"/>
        <w:gridCol w:w="2473"/>
        <w:gridCol w:w="1668"/>
      </w:tblGrid>
      <w:tr w:rsidR="000446D8">
        <w:trPr>
          <w:trHeight w:val="386"/>
        </w:trPr>
        <w:tc>
          <w:tcPr>
            <w:tcW w:w="956" w:type="dxa"/>
            <w:tcBorders>
              <w:top w:val="single" w:sz="4" w:space="0" w:color="auto"/>
              <w:left w:val="single" w:sz="4" w:space="0" w:color="auto"/>
              <w:bottom w:val="single" w:sz="4" w:space="0" w:color="auto"/>
              <w:right w:val="single" w:sz="4" w:space="0" w:color="auto"/>
            </w:tcBorders>
          </w:tcPr>
          <w:p w:rsidR="000446D8" w:rsidRDefault="000446D8" w:rsidP="007977C5">
            <w:pPr>
              <w:spacing w:line="520" w:lineRule="exact"/>
              <w:ind w:firstLineChars="200" w:firstLine="420"/>
              <w:rPr>
                <w:rFonts w:ascii="宋体" w:hAnsi="宋体" w:cs="宋体"/>
                <w:szCs w:val="21"/>
              </w:rPr>
            </w:pPr>
          </w:p>
        </w:tc>
        <w:tc>
          <w:tcPr>
            <w:tcW w:w="3063" w:type="dxa"/>
            <w:tcBorders>
              <w:top w:val="single" w:sz="4" w:space="0" w:color="auto"/>
              <w:left w:val="single" w:sz="4" w:space="0" w:color="auto"/>
              <w:bottom w:val="single" w:sz="4" w:space="0" w:color="auto"/>
              <w:right w:val="single" w:sz="4" w:space="0" w:color="auto"/>
            </w:tcBorders>
            <w:vAlign w:val="center"/>
          </w:tcPr>
          <w:p w:rsidR="000446D8" w:rsidRDefault="00637DA4" w:rsidP="007977C5">
            <w:pPr>
              <w:spacing w:line="520" w:lineRule="exact"/>
              <w:ind w:firstLineChars="200" w:firstLine="420"/>
              <w:jc w:val="center"/>
              <w:rPr>
                <w:rFonts w:ascii="宋体" w:hAnsi="宋体" w:cs="宋体"/>
                <w:szCs w:val="21"/>
              </w:rPr>
            </w:pPr>
            <w:r>
              <w:rPr>
                <w:rFonts w:ascii="宋体" w:hAnsi="宋体" w:cs="宋体" w:hint="eastAsia"/>
                <w:szCs w:val="21"/>
              </w:rPr>
              <w:t>成 果 名 称</w:t>
            </w:r>
          </w:p>
        </w:tc>
        <w:tc>
          <w:tcPr>
            <w:tcW w:w="1740" w:type="dxa"/>
            <w:tcBorders>
              <w:top w:val="single" w:sz="4" w:space="0" w:color="auto"/>
              <w:left w:val="single" w:sz="4" w:space="0" w:color="auto"/>
              <w:bottom w:val="single" w:sz="4" w:space="0" w:color="auto"/>
              <w:right w:val="single" w:sz="4" w:space="0" w:color="auto"/>
            </w:tcBorders>
            <w:vAlign w:val="center"/>
          </w:tcPr>
          <w:p w:rsidR="000446D8" w:rsidRDefault="00637DA4" w:rsidP="007977C5">
            <w:pPr>
              <w:spacing w:line="520" w:lineRule="exact"/>
              <w:ind w:firstLineChars="200" w:firstLine="420"/>
              <w:jc w:val="center"/>
              <w:rPr>
                <w:rFonts w:ascii="宋体" w:hAnsi="宋体" w:cs="宋体"/>
                <w:szCs w:val="21"/>
              </w:rPr>
            </w:pPr>
            <w:r>
              <w:rPr>
                <w:rFonts w:ascii="宋体" w:hAnsi="宋体" w:cs="宋体" w:hint="eastAsia"/>
                <w:szCs w:val="21"/>
              </w:rPr>
              <w:t>成果形式</w:t>
            </w:r>
          </w:p>
        </w:tc>
        <w:tc>
          <w:tcPr>
            <w:tcW w:w="2473" w:type="dxa"/>
            <w:tcBorders>
              <w:top w:val="single" w:sz="4" w:space="0" w:color="auto"/>
              <w:left w:val="single" w:sz="4" w:space="0" w:color="auto"/>
              <w:bottom w:val="single" w:sz="4" w:space="0" w:color="auto"/>
              <w:right w:val="single" w:sz="4" w:space="0" w:color="auto"/>
            </w:tcBorders>
            <w:vAlign w:val="center"/>
          </w:tcPr>
          <w:p w:rsidR="000446D8" w:rsidRDefault="00637DA4" w:rsidP="007977C5">
            <w:pPr>
              <w:spacing w:line="520" w:lineRule="exact"/>
              <w:ind w:firstLineChars="200" w:firstLine="420"/>
              <w:jc w:val="center"/>
              <w:rPr>
                <w:rFonts w:ascii="宋体" w:hAnsi="宋体" w:cs="宋体"/>
                <w:szCs w:val="21"/>
              </w:rPr>
            </w:pPr>
            <w:r>
              <w:rPr>
                <w:rFonts w:ascii="宋体" w:hAnsi="宋体" w:cs="宋体" w:hint="eastAsia"/>
                <w:szCs w:val="21"/>
              </w:rPr>
              <w:t>完成时间</w:t>
            </w:r>
          </w:p>
        </w:tc>
        <w:tc>
          <w:tcPr>
            <w:tcW w:w="1668" w:type="dxa"/>
            <w:tcBorders>
              <w:top w:val="single" w:sz="4" w:space="0" w:color="auto"/>
              <w:left w:val="single" w:sz="4" w:space="0" w:color="auto"/>
              <w:bottom w:val="single" w:sz="4" w:space="0" w:color="auto"/>
              <w:right w:val="single" w:sz="4" w:space="0" w:color="auto"/>
            </w:tcBorders>
            <w:vAlign w:val="center"/>
          </w:tcPr>
          <w:p w:rsidR="000446D8" w:rsidRDefault="00637DA4" w:rsidP="007977C5">
            <w:pPr>
              <w:spacing w:line="520" w:lineRule="exact"/>
              <w:ind w:firstLineChars="200" w:firstLine="420"/>
              <w:jc w:val="center"/>
              <w:rPr>
                <w:rFonts w:ascii="宋体" w:hAnsi="宋体" w:cs="宋体"/>
                <w:szCs w:val="21"/>
              </w:rPr>
            </w:pPr>
            <w:r>
              <w:rPr>
                <w:rFonts w:ascii="宋体" w:hAnsi="宋体" w:cs="宋体" w:hint="eastAsia"/>
                <w:szCs w:val="21"/>
              </w:rPr>
              <w:t>负责人</w:t>
            </w:r>
          </w:p>
        </w:tc>
      </w:tr>
      <w:tr w:rsidR="005C16AD">
        <w:trPr>
          <w:cantSplit/>
          <w:trHeight w:val="525"/>
        </w:trPr>
        <w:tc>
          <w:tcPr>
            <w:tcW w:w="95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C16AD" w:rsidRDefault="005C16AD" w:rsidP="007977C5">
            <w:pPr>
              <w:spacing w:line="520" w:lineRule="exact"/>
              <w:ind w:firstLineChars="200" w:firstLine="420"/>
              <w:rPr>
                <w:rFonts w:ascii="宋体" w:hAnsi="宋体" w:cs="宋体"/>
                <w:szCs w:val="21"/>
              </w:rPr>
            </w:pPr>
            <w:r>
              <w:rPr>
                <w:rFonts w:ascii="宋体" w:hAnsi="宋体" w:cs="宋体" w:hint="eastAsia"/>
                <w:noProof/>
                <w:szCs w:val="21"/>
              </w:rPr>
              <mc:AlternateContent>
                <mc:Choice Requires="wps">
                  <w:drawing>
                    <wp:anchor distT="0" distB="0" distL="114300" distR="114300" simplePos="0" relativeHeight="251660288" behindDoc="0" locked="0" layoutInCell="1" allowOverlap="1" wp14:anchorId="60ABD59B" wp14:editId="3B2E8C00">
                      <wp:simplePos x="0" y="0"/>
                      <wp:positionH relativeFrom="column">
                        <wp:posOffset>43180</wp:posOffset>
                      </wp:positionH>
                      <wp:positionV relativeFrom="paragraph">
                        <wp:posOffset>-2035175</wp:posOffset>
                      </wp:positionV>
                      <wp:extent cx="19050" cy="542925"/>
                      <wp:effectExtent l="5080" t="12700" r="13970" b="635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42925"/>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3.4pt;margin-top:-160.25pt;width:1.5pt;height:42.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"/>
                  </w:pict>
                </mc:Fallback>
              </mc:AlternateContent>
            </w:r>
          </w:p>
          <w:p w:rsidR="005C16AD" w:rsidRDefault="005C16AD" w:rsidP="007977C5">
            <w:pPr>
              <w:spacing w:line="520" w:lineRule="exact"/>
              <w:ind w:firstLineChars="200" w:firstLine="420"/>
              <w:jc w:val="center"/>
              <w:rPr>
                <w:rFonts w:ascii="宋体" w:hAnsi="宋体" w:cs="宋体"/>
                <w:szCs w:val="21"/>
              </w:rPr>
            </w:pPr>
            <w:r>
              <w:rPr>
                <w:rFonts w:ascii="宋体" w:hAnsi="宋体" w:cs="宋体" w:hint="eastAsia"/>
                <w:szCs w:val="21"/>
              </w:rPr>
              <w:t>预 期 成 果</w:t>
            </w:r>
          </w:p>
          <w:p w:rsidR="005C16AD" w:rsidRDefault="005C16AD" w:rsidP="007977C5">
            <w:pPr>
              <w:spacing w:line="520" w:lineRule="exact"/>
              <w:ind w:firstLineChars="200" w:firstLine="420"/>
              <w:jc w:val="center"/>
              <w:rPr>
                <w:rFonts w:ascii="宋体" w:hAnsi="宋体" w:cs="宋体"/>
                <w:szCs w:val="21"/>
              </w:rPr>
            </w:pPr>
          </w:p>
          <w:p w:rsidR="005C16AD" w:rsidRDefault="005C16AD" w:rsidP="007977C5">
            <w:pPr>
              <w:spacing w:line="520" w:lineRule="exact"/>
              <w:ind w:firstLineChars="200" w:firstLine="420"/>
              <w:jc w:val="center"/>
              <w:rPr>
                <w:rFonts w:ascii="宋体" w:hAnsi="宋体" w:cs="宋体"/>
                <w:szCs w:val="21"/>
              </w:rPr>
            </w:pPr>
          </w:p>
        </w:tc>
        <w:tc>
          <w:tcPr>
            <w:tcW w:w="3063" w:type="dxa"/>
            <w:tcBorders>
              <w:top w:val="single" w:sz="4" w:space="0" w:color="auto"/>
              <w:left w:val="single" w:sz="4" w:space="0" w:color="auto"/>
              <w:bottom w:val="single" w:sz="4" w:space="0" w:color="auto"/>
              <w:right w:val="single" w:sz="4" w:space="0" w:color="auto"/>
            </w:tcBorders>
          </w:tcPr>
          <w:p w:rsidR="005C16AD" w:rsidRDefault="005C16AD" w:rsidP="007977C5">
            <w:pPr>
              <w:spacing w:line="520" w:lineRule="exact"/>
              <w:ind w:firstLineChars="200" w:firstLine="420"/>
              <w:rPr>
                <w:rFonts w:ascii="宋体" w:hAnsi="宋体" w:cs="宋体"/>
                <w:szCs w:val="21"/>
                <w:highlight w:val="yellow"/>
              </w:rPr>
            </w:pPr>
            <w:r>
              <w:rPr>
                <w:rFonts w:ascii="宋体" w:hAnsi="宋体" w:cs="宋体" w:hint="eastAsia"/>
                <w:szCs w:val="21"/>
              </w:rPr>
              <w:t>教学案例</w:t>
            </w:r>
          </w:p>
        </w:tc>
        <w:tc>
          <w:tcPr>
            <w:tcW w:w="1740" w:type="dxa"/>
            <w:tcBorders>
              <w:top w:val="single" w:sz="4" w:space="0" w:color="auto"/>
              <w:left w:val="single" w:sz="4" w:space="0" w:color="auto"/>
              <w:bottom w:val="single" w:sz="4" w:space="0" w:color="auto"/>
              <w:right w:val="single" w:sz="4" w:space="0" w:color="auto"/>
            </w:tcBorders>
          </w:tcPr>
          <w:p w:rsidR="005C16AD" w:rsidRDefault="005C16AD" w:rsidP="007977C5">
            <w:pPr>
              <w:spacing w:line="520" w:lineRule="exact"/>
              <w:ind w:firstLineChars="200" w:firstLine="420"/>
              <w:rPr>
                <w:rFonts w:ascii="宋体" w:hAnsi="宋体" w:cs="宋体"/>
                <w:szCs w:val="21"/>
              </w:rPr>
            </w:pPr>
            <w:r>
              <w:rPr>
                <w:rFonts w:ascii="宋体" w:hAnsi="宋体" w:cs="宋体" w:hint="eastAsia"/>
                <w:szCs w:val="21"/>
              </w:rPr>
              <w:t>课件</w:t>
            </w:r>
          </w:p>
        </w:tc>
        <w:tc>
          <w:tcPr>
            <w:tcW w:w="2473" w:type="dxa"/>
            <w:tcBorders>
              <w:top w:val="single" w:sz="4" w:space="0" w:color="auto"/>
              <w:left w:val="single" w:sz="4" w:space="0" w:color="auto"/>
              <w:bottom w:val="single" w:sz="4" w:space="0" w:color="auto"/>
              <w:right w:val="single" w:sz="4" w:space="0" w:color="auto"/>
            </w:tcBorders>
          </w:tcPr>
          <w:p w:rsidR="005C16AD" w:rsidRDefault="005C16AD" w:rsidP="007977C5">
            <w:pPr>
              <w:spacing w:line="520" w:lineRule="exact"/>
              <w:ind w:firstLineChars="200" w:firstLine="420"/>
              <w:rPr>
                <w:rFonts w:ascii="宋体" w:hAnsi="宋体" w:cs="宋体"/>
                <w:szCs w:val="21"/>
              </w:rPr>
            </w:pPr>
            <w:r>
              <w:rPr>
                <w:rFonts w:ascii="宋体" w:hAnsi="宋体" w:cs="宋体" w:hint="eastAsia"/>
                <w:szCs w:val="21"/>
              </w:rPr>
              <w:t>2017.11-2018.03</w:t>
            </w:r>
          </w:p>
        </w:tc>
        <w:tc>
          <w:tcPr>
            <w:tcW w:w="1668" w:type="dxa"/>
            <w:tcBorders>
              <w:top w:val="single" w:sz="4" w:space="0" w:color="auto"/>
              <w:left w:val="single" w:sz="4" w:space="0" w:color="auto"/>
              <w:bottom w:val="single" w:sz="4" w:space="0" w:color="auto"/>
              <w:right w:val="single" w:sz="4" w:space="0" w:color="auto"/>
            </w:tcBorders>
          </w:tcPr>
          <w:p w:rsidR="005C16AD" w:rsidRDefault="005C16AD" w:rsidP="007977C5">
            <w:pPr>
              <w:spacing w:line="520" w:lineRule="exact"/>
              <w:jc w:val="center"/>
              <w:rPr>
                <w:rFonts w:ascii="宋体" w:hAnsi="宋体" w:cs="宋体"/>
                <w:szCs w:val="21"/>
              </w:rPr>
            </w:pPr>
            <w:r>
              <w:rPr>
                <w:rFonts w:ascii="宋体" w:hAnsi="宋体" w:cs="宋体" w:hint="eastAsia"/>
                <w:szCs w:val="21"/>
              </w:rPr>
              <w:t>全体成员</w:t>
            </w:r>
          </w:p>
        </w:tc>
      </w:tr>
      <w:tr w:rsidR="005C16AD">
        <w:trPr>
          <w:cantSplit/>
          <w:trHeight w:val="525"/>
        </w:trPr>
        <w:tc>
          <w:tcPr>
            <w:tcW w:w="956" w:type="dxa"/>
            <w:vMerge/>
            <w:tcBorders>
              <w:top w:val="single" w:sz="4" w:space="0" w:color="auto"/>
              <w:left w:val="single" w:sz="4" w:space="0" w:color="auto"/>
              <w:bottom w:val="single" w:sz="4" w:space="0" w:color="auto"/>
              <w:right w:val="single" w:sz="4" w:space="0" w:color="auto"/>
            </w:tcBorders>
            <w:vAlign w:val="center"/>
          </w:tcPr>
          <w:p w:rsidR="005C16AD" w:rsidRDefault="005C16AD" w:rsidP="007977C5">
            <w:pPr>
              <w:spacing w:line="520" w:lineRule="exact"/>
              <w:ind w:firstLineChars="200" w:firstLine="420"/>
              <w:jc w:val="center"/>
              <w:rPr>
                <w:rFonts w:ascii="宋体" w:hAnsi="宋体" w:cs="宋体"/>
                <w:szCs w:val="21"/>
              </w:rPr>
            </w:pPr>
          </w:p>
        </w:tc>
        <w:tc>
          <w:tcPr>
            <w:tcW w:w="3063" w:type="dxa"/>
            <w:tcBorders>
              <w:top w:val="single" w:sz="4" w:space="0" w:color="auto"/>
              <w:left w:val="single" w:sz="4" w:space="0" w:color="auto"/>
              <w:bottom w:val="single" w:sz="4" w:space="0" w:color="auto"/>
              <w:right w:val="single" w:sz="4" w:space="0" w:color="auto"/>
            </w:tcBorders>
          </w:tcPr>
          <w:p w:rsidR="005C16AD" w:rsidRDefault="005C16AD" w:rsidP="007977C5">
            <w:pPr>
              <w:spacing w:line="520" w:lineRule="exact"/>
              <w:ind w:firstLineChars="200" w:firstLine="420"/>
              <w:rPr>
                <w:rFonts w:ascii="宋体" w:hAnsi="宋体" w:cs="宋体"/>
                <w:szCs w:val="21"/>
              </w:rPr>
            </w:pPr>
            <w:r>
              <w:rPr>
                <w:rFonts w:ascii="宋体" w:hAnsi="宋体" w:cs="宋体" w:hint="eastAsia"/>
                <w:szCs w:val="21"/>
              </w:rPr>
              <w:t>论文集</w:t>
            </w:r>
          </w:p>
        </w:tc>
        <w:tc>
          <w:tcPr>
            <w:tcW w:w="1740" w:type="dxa"/>
            <w:tcBorders>
              <w:top w:val="single" w:sz="4" w:space="0" w:color="auto"/>
              <w:left w:val="single" w:sz="4" w:space="0" w:color="auto"/>
              <w:bottom w:val="single" w:sz="4" w:space="0" w:color="auto"/>
              <w:right w:val="single" w:sz="4" w:space="0" w:color="auto"/>
            </w:tcBorders>
          </w:tcPr>
          <w:p w:rsidR="005C16AD" w:rsidRDefault="005C16AD" w:rsidP="007977C5">
            <w:pPr>
              <w:spacing w:line="520" w:lineRule="exact"/>
              <w:ind w:firstLineChars="200" w:firstLine="420"/>
              <w:rPr>
                <w:rFonts w:ascii="宋体" w:hAnsi="宋体" w:cs="宋体"/>
                <w:szCs w:val="21"/>
              </w:rPr>
            </w:pPr>
            <w:r>
              <w:rPr>
                <w:rFonts w:ascii="宋体" w:hAnsi="宋体" w:cs="宋体" w:hint="eastAsia"/>
                <w:szCs w:val="21"/>
              </w:rPr>
              <w:t>论文</w:t>
            </w:r>
          </w:p>
        </w:tc>
        <w:tc>
          <w:tcPr>
            <w:tcW w:w="2473" w:type="dxa"/>
            <w:tcBorders>
              <w:top w:val="single" w:sz="4" w:space="0" w:color="auto"/>
              <w:left w:val="single" w:sz="4" w:space="0" w:color="auto"/>
              <w:bottom w:val="single" w:sz="4" w:space="0" w:color="auto"/>
              <w:right w:val="single" w:sz="4" w:space="0" w:color="auto"/>
            </w:tcBorders>
          </w:tcPr>
          <w:p w:rsidR="005C16AD" w:rsidRDefault="005C16AD" w:rsidP="007977C5">
            <w:pPr>
              <w:spacing w:line="520" w:lineRule="exact"/>
              <w:ind w:firstLineChars="200" w:firstLine="420"/>
              <w:rPr>
                <w:rFonts w:ascii="宋体" w:hAnsi="宋体" w:cs="宋体"/>
                <w:szCs w:val="21"/>
              </w:rPr>
            </w:pPr>
            <w:r>
              <w:rPr>
                <w:rFonts w:ascii="宋体" w:hAnsi="宋体" w:cs="宋体" w:hint="eastAsia"/>
                <w:szCs w:val="21"/>
              </w:rPr>
              <w:t>2018.03-2018.04</w:t>
            </w:r>
          </w:p>
        </w:tc>
        <w:tc>
          <w:tcPr>
            <w:tcW w:w="1668" w:type="dxa"/>
            <w:tcBorders>
              <w:top w:val="single" w:sz="4" w:space="0" w:color="auto"/>
              <w:left w:val="single" w:sz="4" w:space="0" w:color="auto"/>
              <w:bottom w:val="single" w:sz="4" w:space="0" w:color="auto"/>
              <w:right w:val="single" w:sz="4" w:space="0" w:color="auto"/>
            </w:tcBorders>
          </w:tcPr>
          <w:p w:rsidR="005C16AD" w:rsidRDefault="005C16AD" w:rsidP="007977C5">
            <w:pPr>
              <w:spacing w:line="520" w:lineRule="exact"/>
              <w:jc w:val="center"/>
              <w:rPr>
                <w:rFonts w:ascii="宋体" w:hAnsi="宋体" w:cs="宋体"/>
                <w:szCs w:val="21"/>
              </w:rPr>
            </w:pPr>
            <w:r>
              <w:rPr>
                <w:rFonts w:ascii="宋体" w:hAnsi="宋体" w:cs="宋体" w:hint="eastAsia"/>
                <w:szCs w:val="21"/>
              </w:rPr>
              <w:t>全体成员</w:t>
            </w:r>
          </w:p>
        </w:tc>
      </w:tr>
      <w:tr w:rsidR="005C16AD">
        <w:trPr>
          <w:cantSplit/>
          <w:trHeight w:val="287"/>
        </w:trPr>
        <w:tc>
          <w:tcPr>
            <w:tcW w:w="956" w:type="dxa"/>
            <w:vMerge/>
            <w:tcBorders>
              <w:top w:val="single" w:sz="4" w:space="0" w:color="auto"/>
              <w:left w:val="single" w:sz="4" w:space="0" w:color="auto"/>
              <w:bottom w:val="single" w:sz="4" w:space="0" w:color="auto"/>
              <w:right w:val="single" w:sz="4" w:space="0" w:color="auto"/>
            </w:tcBorders>
            <w:vAlign w:val="center"/>
          </w:tcPr>
          <w:p w:rsidR="005C16AD" w:rsidRDefault="005C16AD" w:rsidP="007977C5">
            <w:pPr>
              <w:spacing w:line="520" w:lineRule="exact"/>
              <w:ind w:firstLineChars="200" w:firstLine="420"/>
              <w:jc w:val="center"/>
              <w:rPr>
                <w:rFonts w:ascii="宋体" w:hAnsi="宋体" w:cs="宋体"/>
                <w:szCs w:val="21"/>
              </w:rPr>
            </w:pPr>
          </w:p>
        </w:tc>
        <w:tc>
          <w:tcPr>
            <w:tcW w:w="3063" w:type="dxa"/>
            <w:tcBorders>
              <w:top w:val="single" w:sz="4" w:space="0" w:color="auto"/>
              <w:left w:val="single" w:sz="4" w:space="0" w:color="auto"/>
              <w:bottom w:val="single" w:sz="4" w:space="0" w:color="auto"/>
              <w:right w:val="single" w:sz="4" w:space="0" w:color="auto"/>
            </w:tcBorders>
          </w:tcPr>
          <w:p w:rsidR="005C16AD" w:rsidRDefault="005C16AD" w:rsidP="007977C5">
            <w:pPr>
              <w:spacing w:line="520" w:lineRule="exact"/>
              <w:ind w:firstLineChars="200" w:firstLine="420"/>
              <w:rPr>
                <w:rFonts w:ascii="宋体" w:hAnsi="宋体" w:cs="宋体"/>
                <w:szCs w:val="21"/>
              </w:rPr>
            </w:pPr>
            <w:r>
              <w:rPr>
                <w:rFonts w:ascii="宋体" w:hAnsi="宋体" w:cs="宋体" w:hint="eastAsia"/>
                <w:szCs w:val="21"/>
              </w:rPr>
              <w:t>研究报告</w:t>
            </w:r>
          </w:p>
        </w:tc>
        <w:tc>
          <w:tcPr>
            <w:tcW w:w="1740" w:type="dxa"/>
            <w:tcBorders>
              <w:top w:val="single" w:sz="4" w:space="0" w:color="auto"/>
              <w:left w:val="single" w:sz="4" w:space="0" w:color="auto"/>
              <w:bottom w:val="single" w:sz="4" w:space="0" w:color="auto"/>
              <w:right w:val="single" w:sz="4" w:space="0" w:color="auto"/>
            </w:tcBorders>
          </w:tcPr>
          <w:p w:rsidR="005C16AD" w:rsidRDefault="005C16AD" w:rsidP="007977C5">
            <w:pPr>
              <w:spacing w:line="520" w:lineRule="exact"/>
              <w:ind w:firstLineChars="200" w:firstLine="420"/>
              <w:rPr>
                <w:rFonts w:ascii="宋体" w:hAnsi="宋体" w:cs="宋体"/>
                <w:szCs w:val="21"/>
              </w:rPr>
            </w:pPr>
            <w:r>
              <w:rPr>
                <w:rFonts w:ascii="宋体" w:hAnsi="宋体" w:cs="宋体" w:hint="eastAsia"/>
                <w:szCs w:val="21"/>
              </w:rPr>
              <w:t>研究报告</w:t>
            </w:r>
          </w:p>
        </w:tc>
        <w:tc>
          <w:tcPr>
            <w:tcW w:w="2473" w:type="dxa"/>
            <w:tcBorders>
              <w:top w:val="single" w:sz="4" w:space="0" w:color="auto"/>
              <w:left w:val="single" w:sz="4" w:space="0" w:color="auto"/>
              <w:bottom w:val="single" w:sz="4" w:space="0" w:color="auto"/>
              <w:right w:val="single" w:sz="4" w:space="0" w:color="auto"/>
            </w:tcBorders>
          </w:tcPr>
          <w:p w:rsidR="005C16AD" w:rsidRDefault="005C16AD" w:rsidP="007977C5">
            <w:pPr>
              <w:spacing w:line="520" w:lineRule="exact"/>
              <w:ind w:firstLineChars="200" w:firstLine="420"/>
              <w:rPr>
                <w:rFonts w:ascii="宋体" w:hAnsi="宋体" w:cs="宋体"/>
                <w:szCs w:val="21"/>
              </w:rPr>
            </w:pPr>
            <w:r>
              <w:rPr>
                <w:rFonts w:ascii="宋体" w:hAnsi="宋体" w:cs="宋体" w:hint="eastAsia"/>
                <w:szCs w:val="21"/>
              </w:rPr>
              <w:t>2018.04</w:t>
            </w:r>
          </w:p>
        </w:tc>
        <w:tc>
          <w:tcPr>
            <w:tcW w:w="1668" w:type="dxa"/>
            <w:tcBorders>
              <w:top w:val="single" w:sz="4" w:space="0" w:color="auto"/>
              <w:left w:val="single" w:sz="4" w:space="0" w:color="auto"/>
              <w:bottom w:val="single" w:sz="4" w:space="0" w:color="auto"/>
              <w:right w:val="single" w:sz="4" w:space="0" w:color="auto"/>
            </w:tcBorders>
          </w:tcPr>
          <w:p w:rsidR="005C16AD" w:rsidRDefault="005C16AD" w:rsidP="00CB6D9D">
            <w:pPr>
              <w:spacing w:line="520" w:lineRule="exact"/>
              <w:jc w:val="center"/>
              <w:rPr>
                <w:rFonts w:ascii="宋体" w:hAnsi="宋体" w:cs="宋体"/>
                <w:szCs w:val="21"/>
              </w:rPr>
            </w:pPr>
            <w:r>
              <w:rPr>
                <w:rFonts w:ascii="宋体" w:hAnsi="宋体" w:cs="宋体" w:hint="eastAsia"/>
                <w:szCs w:val="21"/>
              </w:rPr>
              <w:t>全体成员</w:t>
            </w:r>
          </w:p>
        </w:tc>
      </w:tr>
      <w:tr w:rsidR="005C16AD">
        <w:trPr>
          <w:cantSplit/>
          <w:trHeight w:val="361"/>
        </w:trPr>
        <w:tc>
          <w:tcPr>
            <w:tcW w:w="956" w:type="dxa"/>
            <w:vMerge/>
            <w:tcBorders>
              <w:top w:val="single" w:sz="4" w:space="0" w:color="auto"/>
              <w:left w:val="single" w:sz="4" w:space="0" w:color="auto"/>
              <w:bottom w:val="single" w:sz="4" w:space="0" w:color="auto"/>
              <w:right w:val="single" w:sz="4" w:space="0" w:color="auto"/>
            </w:tcBorders>
            <w:vAlign w:val="center"/>
          </w:tcPr>
          <w:p w:rsidR="005C16AD" w:rsidRDefault="005C16AD" w:rsidP="007977C5">
            <w:pPr>
              <w:spacing w:line="520" w:lineRule="exact"/>
              <w:ind w:firstLineChars="200" w:firstLine="420"/>
              <w:jc w:val="center"/>
              <w:rPr>
                <w:rFonts w:ascii="宋体" w:hAnsi="宋体" w:cs="宋体"/>
                <w:szCs w:val="21"/>
              </w:rPr>
            </w:pPr>
          </w:p>
        </w:tc>
        <w:tc>
          <w:tcPr>
            <w:tcW w:w="3063" w:type="dxa"/>
            <w:tcBorders>
              <w:top w:val="single" w:sz="4" w:space="0" w:color="auto"/>
              <w:left w:val="single" w:sz="4" w:space="0" w:color="auto"/>
              <w:bottom w:val="single" w:sz="4" w:space="0" w:color="auto"/>
              <w:right w:val="single" w:sz="4" w:space="0" w:color="auto"/>
            </w:tcBorders>
          </w:tcPr>
          <w:p w:rsidR="005C16AD" w:rsidRPr="005C16AD" w:rsidRDefault="00CB6D9D" w:rsidP="007977C5">
            <w:pPr>
              <w:spacing w:line="520" w:lineRule="exact"/>
              <w:ind w:firstLineChars="200" w:firstLine="420"/>
              <w:rPr>
                <w:rFonts w:ascii="宋体" w:hAnsi="宋体" w:cs="宋体"/>
                <w:szCs w:val="21"/>
              </w:rPr>
            </w:pPr>
            <w:r>
              <w:rPr>
                <w:rFonts w:ascii="宋体" w:hAnsi="宋体" w:cs="宋体" w:hint="eastAsia"/>
                <w:szCs w:val="21"/>
              </w:rPr>
              <w:t>调查报告</w:t>
            </w:r>
          </w:p>
        </w:tc>
        <w:tc>
          <w:tcPr>
            <w:tcW w:w="1740" w:type="dxa"/>
            <w:tcBorders>
              <w:top w:val="single" w:sz="4" w:space="0" w:color="auto"/>
              <w:left w:val="single" w:sz="4" w:space="0" w:color="auto"/>
              <w:bottom w:val="single" w:sz="4" w:space="0" w:color="auto"/>
              <w:right w:val="single" w:sz="4" w:space="0" w:color="auto"/>
            </w:tcBorders>
          </w:tcPr>
          <w:p w:rsidR="005C16AD" w:rsidRPr="005C16AD" w:rsidRDefault="00CB6D9D" w:rsidP="007977C5">
            <w:pPr>
              <w:spacing w:line="520" w:lineRule="exact"/>
              <w:ind w:firstLineChars="200" w:firstLine="420"/>
              <w:rPr>
                <w:rFonts w:ascii="宋体" w:hAnsi="宋体" w:cs="宋体"/>
                <w:szCs w:val="21"/>
              </w:rPr>
            </w:pPr>
            <w:r>
              <w:rPr>
                <w:rFonts w:ascii="宋体" w:hAnsi="宋体" w:cs="宋体" w:hint="eastAsia"/>
                <w:szCs w:val="21"/>
              </w:rPr>
              <w:t>调查报告</w:t>
            </w:r>
          </w:p>
        </w:tc>
        <w:tc>
          <w:tcPr>
            <w:tcW w:w="2473" w:type="dxa"/>
            <w:tcBorders>
              <w:top w:val="single" w:sz="4" w:space="0" w:color="auto"/>
              <w:left w:val="single" w:sz="4" w:space="0" w:color="auto"/>
              <w:bottom w:val="single" w:sz="4" w:space="0" w:color="auto"/>
              <w:right w:val="single" w:sz="4" w:space="0" w:color="auto"/>
            </w:tcBorders>
          </w:tcPr>
          <w:p w:rsidR="005C16AD" w:rsidRPr="00CB6D9D" w:rsidRDefault="00CB6D9D" w:rsidP="007977C5">
            <w:pPr>
              <w:spacing w:line="520" w:lineRule="exact"/>
              <w:ind w:firstLineChars="200" w:firstLine="420"/>
              <w:rPr>
                <w:rFonts w:ascii="宋体" w:hAnsi="宋体" w:cs="宋体"/>
                <w:szCs w:val="21"/>
              </w:rPr>
            </w:pPr>
            <w:r w:rsidRPr="00CB6D9D">
              <w:rPr>
                <w:rFonts w:ascii="宋体" w:hAnsi="宋体" w:cs="宋体" w:hint="eastAsia"/>
                <w:szCs w:val="21"/>
              </w:rPr>
              <w:t>2018.04</w:t>
            </w:r>
          </w:p>
        </w:tc>
        <w:tc>
          <w:tcPr>
            <w:tcW w:w="1668" w:type="dxa"/>
            <w:tcBorders>
              <w:top w:val="single" w:sz="4" w:space="0" w:color="auto"/>
              <w:left w:val="single" w:sz="4" w:space="0" w:color="auto"/>
              <w:bottom w:val="single" w:sz="4" w:space="0" w:color="auto"/>
              <w:right w:val="single" w:sz="4" w:space="0" w:color="auto"/>
            </w:tcBorders>
          </w:tcPr>
          <w:p w:rsidR="005C16AD" w:rsidRPr="00CB6D9D" w:rsidRDefault="00CB6D9D" w:rsidP="00CB6D9D">
            <w:pPr>
              <w:spacing w:line="520" w:lineRule="exact"/>
              <w:jc w:val="center"/>
              <w:rPr>
                <w:rFonts w:ascii="宋体" w:hAnsi="宋体" w:cs="宋体"/>
                <w:szCs w:val="21"/>
              </w:rPr>
            </w:pPr>
            <w:r w:rsidRPr="00CB6D9D">
              <w:rPr>
                <w:rFonts w:ascii="宋体" w:hAnsi="宋体" w:cs="宋体" w:hint="eastAsia"/>
                <w:szCs w:val="21"/>
              </w:rPr>
              <w:t>全体成员</w:t>
            </w:r>
          </w:p>
        </w:tc>
      </w:tr>
    </w:tbl>
    <w:p w:rsidR="000446D8" w:rsidRPr="00A77978" w:rsidRDefault="00637DA4" w:rsidP="007977C5">
      <w:pPr>
        <w:spacing w:line="520" w:lineRule="exact"/>
        <w:rPr>
          <w:rFonts w:ascii="宋体" w:hAnsi="宋体" w:cs="宋体"/>
          <w:b/>
          <w:sz w:val="30"/>
          <w:szCs w:val="30"/>
        </w:rPr>
      </w:pPr>
      <w:r w:rsidRPr="00A77978">
        <w:rPr>
          <w:rFonts w:ascii="宋体" w:hAnsi="宋体" w:cs="宋体" w:hint="eastAsia"/>
          <w:b/>
          <w:sz w:val="30"/>
          <w:szCs w:val="30"/>
        </w:rPr>
        <w:t>（八）完成研究任务的可行性分析</w:t>
      </w:r>
    </w:p>
    <w:p w:rsidR="000446D8" w:rsidRDefault="00A77978" w:rsidP="007977C5">
      <w:pPr>
        <w:spacing w:line="520" w:lineRule="exact"/>
        <w:ind w:firstLineChars="200" w:firstLine="562"/>
        <w:rPr>
          <w:rFonts w:ascii="宋体" w:hAnsi="宋体" w:cs="宋体"/>
          <w:b/>
          <w:bCs/>
          <w:sz w:val="28"/>
          <w:szCs w:val="28"/>
        </w:rPr>
      </w:pPr>
      <w:r>
        <w:rPr>
          <w:rFonts w:ascii="宋体" w:hAnsi="宋体" w:cs="宋体" w:hint="eastAsia"/>
          <w:b/>
          <w:bCs/>
          <w:sz w:val="28"/>
          <w:szCs w:val="28"/>
        </w:rPr>
        <w:t>1、</w:t>
      </w:r>
      <w:r w:rsidR="00637DA4">
        <w:rPr>
          <w:rFonts w:ascii="宋体" w:hAnsi="宋体" w:cs="宋体" w:hint="eastAsia"/>
          <w:b/>
          <w:bCs/>
          <w:sz w:val="28"/>
          <w:szCs w:val="28"/>
        </w:rPr>
        <w:t>研究力量</w:t>
      </w:r>
    </w:p>
    <w:p w:rsidR="000446D8" w:rsidRPr="00A77978" w:rsidRDefault="00637DA4" w:rsidP="007F6A59">
      <w:pPr>
        <w:spacing w:line="520" w:lineRule="exact"/>
        <w:ind w:firstLineChars="200" w:firstLine="480"/>
        <w:rPr>
          <w:rFonts w:ascii="宋体" w:hAnsi="宋体" w:cs="宋体"/>
          <w:sz w:val="24"/>
          <w:szCs w:val="28"/>
        </w:rPr>
      </w:pPr>
      <w:r w:rsidRPr="00A77978">
        <w:rPr>
          <w:rFonts w:ascii="宋体" w:hAnsi="宋体" w:cs="宋体" w:hint="eastAsia"/>
          <w:sz w:val="24"/>
          <w:szCs w:val="28"/>
        </w:rPr>
        <w:t>孟彦</w:t>
      </w:r>
      <w:r w:rsidRPr="00A77978">
        <w:rPr>
          <w:rFonts w:ascii="宋体" w:hAnsi="宋体" w:cs="宋体" w:hint="eastAsia"/>
          <w:sz w:val="24"/>
          <w:szCs w:val="28"/>
        </w:rPr>
        <w:tab/>
        <w:t xml:space="preserve">   昆山花桥国际商务城中等专业学校   讲师   英语教育</w:t>
      </w:r>
    </w:p>
    <w:p w:rsidR="000446D8" w:rsidRPr="00A77978" w:rsidRDefault="00637DA4" w:rsidP="007F6A59">
      <w:pPr>
        <w:spacing w:line="520" w:lineRule="exact"/>
        <w:ind w:firstLineChars="200" w:firstLine="480"/>
        <w:rPr>
          <w:rFonts w:ascii="宋体" w:hAnsi="宋体" w:cs="宋体"/>
          <w:sz w:val="24"/>
          <w:szCs w:val="28"/>
        </w:rPr>
      </w:pPr>
      <w:r w:rsidRPr="00A77978">
        <w:rPr>
          <w:rFonts w:ascii="宋体" w:hAnsi="宋体" w:cs="宋体" w:hint="eastAsia"/>
          <w:sz w:val="24"/>
          <w:szCs w:val="28"/>
        </w:rPr>
        <w:t>莫慧敏</w:t>
      </w:r>
      <w:r w:rsidRPr="00A77978">
        <w:rPr>
          <w:rFonts w:ascii="宋体" w:hAnsi="宋体" w:cs="宋体" w:hint="eastAsia"/>
          <w:sz w:val="24"/>
          <w:szCs w:val="28"/>
        </w:rPr>
        <w:tab/>
      </w:r>
      <w:r w:rsidR="007F6A59">
        <w:rPr>
          <w:rFonts w:ascii="宋体" w:hAnsi="宋体" w:cs="宋体" w:hint="eastAsia"/>
          <w:sz w:val="24"/>
          <w:szCs w:val="28"/>
        </w:rPr>
        <w:t xml:space="preserve">   </w:t>
      </w:r>
      <w:r w:rsidRPr="00A77978">
        <w:rPr>
          <w:rFonts w:ascii="宋体" w:hAnsi="宋体" w:cs="宋体" w:hint="eastAsia"/>
          <w:sz w:val="24"/>
          <w:szCs w:val="28"/>
        </w:rPr>
        <w:t>昆山花桥国际商务城中等专业学校 助理讲师 英语教育</w:t>
      </w:r>
    </w:p>
    <w:p w:rsidR="000446D8" w:rsidRPr="00A77978" w:rsidRDefault="00637DA4" w:rsidP="007F6A59">
      <w:pPr>
        <w:spacing w:line="520" w:lineRule="exact"/>
        <w:ind w:firstLineChars="200" w:firstLine="480"/>
        <w:rPr>
          <w:rFonts w:ascii="宋体" w:hAnsi="宋体" w:cs="宋体"/>
          <w:sz w:val="24"/>
          <w:szCs w:val="28"/>
        </w:rPr>
      </w:pPr>
      <w:r w:rsidRPr="00A77978">
        <w:rPr>
          <w:rFonts w:ascii="宋体" w:hAnsi="宋体" w:cs="宋体" w:hint="eastAsia"/>
          <w:sz w:val="24"/>
          <w:szCs w:val="28"/>
        </w:rPr>
        <w:t>吴英</w:t>
      </w:r>
      <w:r w:rsidRPr="00A77978">
        <w:rPr>
          <w:rFonts w:ascii="宋体" w:hAnsi="宋体" w:cs="宋体" w:hint="eastAsia"/>
          <w:sz w:val="24"/>
          <w:szCs w:val="28"/>
        </w:rPr>
        <w:tab/>
        <w:t xml:space="preserve">   昆山花桥国际商务城中等专业学校 助理讲师 英语教育</w:t>
      </w:r>
    </w:p>
    <w:p w:rsidR="000446D8" w:rsidRPr="00A77978" w:rsidRDefault="00637DA4" w:rsidP="007F6A59">
      <w:pPr>
        <w:spacing w:line="520" w:lineRule="exact"/>
        <w:ind w:firstLineChars="200" w:firstLine="480"/>
        <w:rPr>
          <w:rFonts w:ascii="宋体" w:hAnsi="宋体" w:cs="宋体"/>
          <w:sz w:val="24"/>
          <w:szCs w:val="28"/>
        </w:rPr>
      </w:pPr>
      <w:proofErr w:type="gramStart"/>
      <w:r w:rsidRPr="00A77978">
        <w:rPr>
          <w:rFonts w:ascii="宋体" w:hAnsi="宋体" w:cs="宋体" w:hint="eastAsia"/>
          <w:sz w:val="24"/>
          <w:szCs w:val="28"/>
        </w:rPr>
        <w:t>顾盛莲</w:t>
      </w:r>
      <w:proofErr w:type="gramEnd"/>
      <w:r w:rsidRPr="00A77978">
        <w:rPr>
          <w:rFonts w:ascii="宋体" w:hAnsi="宋体" w:cs="宋体" w:hint="eastAsia"/>
          <w:sz w:val="24"/>
          <w:szCs w:val="28"/>
        </w:rPr>
        <w:tab/>
      </w:r>
      <w:r w:rsidR="007F6A59">
        <w:rPr>
          <w:rFonts w:ascii="宋体" w:hAnsi="宋体" w:cs="宋体" w:hint="eastAsia"/>
          <w:sz w:val="24"/>
          <w:szCs w:val="28"/>
        </w:rPr>
        <w:t xml:space="preserve">   </w:t>
      </w:r>
      <w:r w:rsidRPr="00A77978">
        <w:rPr>
          <w:rFonts w:ascii="宋体" w:hAnsi="宋体" w:cs="宋体" w:hint="eastAsia"/>
          <w:sz w:val="24"/>
          <w:szCs w:val="28"/>
        </w:rPr>
        <w:t>昆山花桥国际商务城中等专业学校 助理讲师 英语教育</w:t>
      </w:r>
    </w:p>
    <w:p w:rsidR="000446D8" w:rsidRDefault="00A77978" w:rsidP="007977C5">
      <w:pPr>
        <w:spacing w:line="520" w:lineRule="exact"/>
        <w:ind w:firstLineChars="200" w:firstLine="562"/>
        <w:rPr>
          <w:rFonts w:ascii="宋体" w:hAnsi="宋体" w:cs="宋体"/>
          <w:b/>
          <w:bCs/>
          <w:sz w:val="28"/>
          <w:szCs w:val="28"/>
        </w:rPr>
      </w:pPr>
      <w:r w:rsidRPr="00BC0EAB">
        <w:rPr>
          <w:rFonts w:ascii="宋体" w:hAnsi="宋体" w:cs="宋体" w:hint="eastAsia"/>
          <w:b/>
          <w:bCs/>
          <w:sz w:val="28"/>
          <w:szCs w:val="28"/>
        </w:rPr>
        <w:t>2、</w:t>
      </w:r>
      <w:r w:rsidR="00637DA4" w:rsidRPr="00BC0EAB">
        <w:rPr>
          <w:rFonts w:ascii="宋体" w:hAnsi="宋体" w:cs="宋体" w:hint="eastAsia"/>
          <w:b/>
          <w:bCs/>
          <w:sz w:val="28"/>
          <w:szCs w:val="28"/>
        </w:rPr>
        <w:t>研究基础</w:t>
      </w:r>
    </w:p>
    <w:p w:rsidR="00B50F5E" w:rsidRDefault="00B50F5E" w:rsidP="007977C5">
      <w:pPr>
        <w:spacing w:line="520" w:lineRule="exact"/>
        <w:ind w:rightChars="-51" w:right="-107" w:firstLineChars="200" w:firstLine="480"/>
        <w:rPr>
          <w:rFonts w:ascii="宋体" w:hAnsi="宋体"/>
          <w:sz w:val="24"/>
        </w:rPr>
      </w:pPr>
      <w:r>
        <w:rPr>
          <w:rFonts w:ascii="宋体" w:hAnsi="宋体" w:hint="eastAsia"/>
          <w:sz w:val="24"/>
        </w:rPr>
        <w:t>在课题准备阶段，笔者已经收集了很多皮格马利翁效应在英语教学中的应用研究相关论文。</w:t>
      </w:r>
    </w:p>
    <w:p w:rsidR="00B50F5E" w:rsidRPr="00A77978" w:rsidRDefault="00A77978" w:rsidP="007977C5">
      <w:pPr>
        <w:spacing w:line="520" w:lineRule="exact"/>
        <w:ind w:firstLineChars="200" w:firstLine="562"/>
        <w:rPr>
          <w:rFonts w:ascii="宋体" w:hAnsi="宋体" w:cs="宋体"/>
          <w:b/>
          <w:bCs/>
          <w:sz w:val="28"/>
          <w:szCs w:val="28"/>
        </w:rPr>
      </w:pPr>
      <w:r w:rsidRPr="00A77978">
        <w:rPr>
          <w:rFonts w:ascii="宋体" w:hAnsi="宋体" w:cs="宋体" w:hint="eastAsia"/>
          <w:b/>
          <w:bCs/>
          <w:sz w:val="28"/>
          <w:szCs w:val="28"/>
        </w:rPr>
        <w:t>3、</w:t>
      </w:r>
      <w:r w:rsidR="00B50F5E" w:rsidRPr="00A77978">
        <w:rPr>
          <w:rFonts w:ascii="宋体" w:hAnsi="宋体" w:cs="宋体" w:hint="eastAsia"/>
          <w:b/>
          <w:bCs/>
          <w:sz w:val="28"/>
          <w:szCs w:val="28"/>
        </w:rPr>
        <w:t>保障条件</w:t>
      </w:r>
    </w:p>
    <w:p w:rsidR="00B50F5E" w:rsidRPr="007F6A59" w:rsidRDefault="00B50F5E" w:rsidP="007F6A59">
      <w:pPr>
        <w:spacing w:line="520" w:lineRule="exact"/>
        <w:ind w:rightChars="-51" w:right="-107" w:firstLineChars="200" w:firstLine="480"/>
        <w:rPr>
          <w:rFonts w:ascii="宋体" w:hAnsi="宋体"/>
          <w:sz w:val="24"/>
        </w:rPr>
      </w:pPr>
      <w:r>
        <w:rPr>
          <w:rFonts w:ascii="宋体" w:hAnsi="宋体" w:hint="eastAsia"/>
          <w:sz w:val="24"/>
        </w:rPr>
        <w:t>学校重视英语教学，注重新课标的落实，强调学生自主学习，因此得到了学校相关部门的全力支持，使课题研究工作能顺利开展，学校对课题研究所需的</w:t>
      </w:r>
      <w:proofErr w:type="gramStart"/>
      <w:r>
        <w:rPr>
          <w:rFonts w:ascii="宋体" w:hAnsi="宋体" w:hint="eastAsia"/>
          <w:sz w:val="24"/>
        </w:rPr>
        <w:t>物材给予</w:t>
      </w:r>
      <w:proofErr w:type="gramEnd"/>
      <w:r>
        <w:rPr>
          <w:rFonts w:ascii="宋体" w:hAnsi="宋体" w:hint="eastAsia"/>
          <w:sz w:val="24"/>
        </w:rPr>
        <w:t>保障和支持。</w:t>
      </w:r>
    </w:p>
    <w:p w:rsidR="00B50F5E" w:rsidRPr="00A77978" w:rsidRDefault="00B50F5E" w:rsidP="007977C5">
      <w:pPr>
        <w:spacing w:line="520" w:lineRule="exact"/>
        <w:rPr>
          <w:rFonts w:ascii="宋体" w:hAnsi="宋体" w:cs="宋体"/>
          <w:b/>
          <w:sz w:val="30"/>
          <w:szCs w:val="30"/>
        </w:rPr>
      </w:pPr>
      <w:r w:rsidRPr="00A77978">
        <w:rPr>
          <w:rFonts w:ascii="宋体" w:hAnsi="宋体" w:cs="宋体" w:hint="eastAsia"/>
          <w:b/>
          <w:sz w:val="30"/>
          <w:szCs w:val="30"/>
        </w:rPr>
        <w:t>（九）参考文献</w:t>
      </w:r>
    </w:p>
    <w:p w:rsidR="000446D8" w:rsidRPr="004729FF" w:rsidRDefault="00637DA4" w:rsidP="004729FF">
      <w:pPr>
        <w:pStyle w:val="aa"/>
        <w:numPr>
          <w:ilvl w:val="0"/>
          <w:numId w:val="4"/>
        </w:numPr>
        <w:spacing w:line="520" w:lineRule="exact"/>
        <w:ind w:firstLineChars="0"/>
        <w:rPr>
          <w:rFonts w:ascii="楷体_GB2312" w:eastAsia="楷体_GB2312" w:hAnsi="宋体" w:cs="宋体"/>
          <w:szCs w:val="21"/>
        </w:rPr>
      </w:pPr>
      <w:r w:rsidRPr="004729FF">
        <w:rPr>
          <w:rFonts w:ascii="楷体_GB2312" w:eastAsia="楷体_GB2312" w:hAnsi="宋体" w:cs="宋体" w:hint="eastAsia"/>
          <w:szCs w:val="21"/>
        </w:rPr>
        <w:t>王安原</w:t>
      </w:r>
      <w:r w:rsidR="00A72E3B">
        <w:rPr>
          <w:rFonts w:ascii="楷体_GB2312" w:eastAsia="楷体_GB2312" w:hAnsi="宋体" w:cs="宋体" w:hint="eastAsia"/>
          <w:szCs w:val="21"/>
        </w:rPr>
        <w:t>,</w:t>
      </w:r>
      <w:r w:rsidRPr="00A72E3B">
        <w:rPr>
          <w:rFonts w:ascii="楷体_GB2312" w:eastAsia="楷体_GB2312" w:hAnsi="宋体" w:cs="宋体" w:hint="eastAsia"/>
          <w:i/>
          <w:szCs w:val="21"/>
        </w:rPr>
        <w:t>“皮格马利翁效应”在英语教学中的应用研究</w:t>
      </w:r>
      <w:r w:rsidR="00A72E3B">
        <w:rPr>
          <w:rFonts w:ascii="楷体_GB2312" w:eastAsia="楷体_GB2312" w:hAnsi="宋体" w:cs="宋体" w:hint="eastAsia"/>
          <w:szCs w:val="21"/>
        </w:rPr>
        <w:t>,</w:t>
      </w:r>
      <w:r w:rsidR="005E573D">
        <w:rPr>
          <w:rFonts w:ascii="楷体_GB2312" w:eastAsia="楷体_GB2312" w:hAnsi="宋体" w:cs="宋体" w:hint="eastAsia"/>
          <w:szCs w:val="21"/>
        </w:rPr>
        <w:t>2010.</w:t>
      </w:r>
    </w:p>
    <w:p w:rsidR="000446D8" w:rsidRPr="004729FF" w:rsidRDefault="00637DA4" w:rsidP="004729FF">
      <w:pPr>
        <w:pStyle w:val="aa"/>
        <w:numPr>
          <w:ilvl w:val="0"/>
          <w:numId w:val="4"/>
        </w:numPr>
        <w:spacing w:line="520" w:lineRule="exact"/>
        <w:ind w:firstLineChars="0"/>
        <w:rPr>
          <w:rFonts w:ascii="楷体_GB2312" w:eastAsia="楷体_GB2312" w:hAnsi="宋体" w:cs="宋体"/>
          <w:szCs w:val="21"/>
        </w:rPr>
      </w:pPr>
      <w:r w:rsidRPr="004729FF">
        <w:rPr>
          <w:rFonts w:ascii="楷体_GB2312" w:eastAsia="楷体_GB2312" w:hAnsi="宋体" w:cs="宋体" w:hint="eastAsia"/>
          <w:szCs w:val="21"/>
        </w:rPr>
        <w:t>陈璧鸿</w:t>
      </w:r>
      <w:r w:rsidR="00A72E3B">
        <w:rPr>
          <w:rFonts w:ascii="楷体_GB2312" w:eastAsia="楷体_GB2312" w:hAnsi="宋体" w:cs="宋体" w:hint="eastAsia"/>
          <w:szCs w:val="21"/>
        </w:rPr>
        <w:t>,</w:t>
      </w:r>
      <w:r w:rsidRPr="00A72E3B">
        <w:rPr>
          <w:rFonts w:ascii="楷体_GB2312" w:eastAsia="楷体_GB2312" w:hAnsi="宋体" w:cs="宋体" w:hint="eastAsia"/>
          <w:i/>
          <w:szCs w:val="21"/>
        </w:rPr>
        <w:t>“皮格马利翁效应”在中职英语教学中的应用探究</w:t>
      </w:r>
      <w:r w:rsidR="00A72E3B">
        <w:rPr>
          <w:rFonts w:ascii="楷体_GB2312" w:eastAsia="楷体_GB2312" w:hAnsi="宋体" w:cs="宋体" w:hint="eastAsia"/>
          <w:szCs w:val="21"/>
        </w:rPr>
        <w:t>,</w:t>
      </w:r>
      <w:r w:rsidR="005E573D">
        <w:rPr>
          <w:rFonts w:ascii="楷体_GB2312" w:eastAsia="楷体_GB2312" w:hAnsi="宋体" w:cs="宋体" w:hint="eastAsia"/>
          <w:szCs w:val="21"/>
        </w:rPr>
        <w:t>2013.</w:t>
      </w:r>
    </w:p>
    <w:p w:rsidR="000446D8" w:rsidRPr="004729FF" w:rsidRDefault="00637DA4" w:rsidP="004729FF">
      <w:pPr>
        <w:pStyle w:val="aa"/>
        <w:numPr>
          <w:ilvl w:val="0"/>
          <w:numId w:val="4"/>
        </w:numPr>
        <w:spacing w:line="520" w:lineRule="exact"/>
        <w:ind w:firstLineChars="0"/>
        <w:rPr>
          <w:rFonts w:ascii="楷体_GB2312" w:eastAsia="楷体_GB2312" w:hAnsi="宋体" w:cs="宋体"/>
          <w:szCs w:val="21"/>
        </w:rPr>
      </w:pPr>
      <w:r w:rsidRPr="004729FF">
        <w:rPr>
          <w:rFonts w:ascii="楷体_GB2312" w:eastAsia="楷体_GB2312" w:hAnsi="宋体" w:cs="宋体" w:hint="eastAsia"/>
          <w:szCs w:val="21"/>
        </w:rPr>
        <w:t>杨燕秋</w:t>
      </w:r>
      <w:r w:rsidR="00A72E3B">
        <w:rPr>
          <w:rFonts w:ascii="楷体_GB2312" w:eastAsia="楷体_GB2312" w:hAnsi="宋体" w:cs="宋体" w:hint="eastAsia"/>
          <w:szCs w:val="21"/>
        </w:rPr>
        <w:t>,</w:t>
      </w:r>
      <w:r w:rsidRPr="00A72E3B">
        <w:rPr>
          <w:rFonts w:ascii="楷体_GB2312" w:eastAsia="楷体_GB2312" w:hAnsi="宋体" w:cs="宋体" w:hint="eastAsia"/>
          <w:i/>
          <w:szCs w:val="21"/>
        </w:rPr>
        <w:t>“皮格马利翁效应”对于提高初中英语学习有困难学生学习效果的研究</w:t>
      </w:r>
      <w:r w:rsidR="00A72E3B">
        <w:rPr>
          <w:rFonts w:ascii="楷体_GB2312" w:eastAsia="楷体_GB2312" w:hAnsi="宋体" w:cs="宋体" w:hint="eastAsia"/>
          <w:szCs w:val="21"/>
        </w:rPr>
        <w:t>,</w:t>
      </w:r>
      <w:r w:rsidR="005E573D">
        <w:rPr>
          <w:rFonts w:ascii="楷体_GB2312" w:eastAsia="楷体_GB2312" w:hAnsi="宋体" w:cs="宋体" w:hint="eastAsia"/>
          <w:szCs w:val="21"/>
        </w:rPr>
        <w:t>2011.</w:t>
      </w:r>
    </w:p>
    <w:p w:rsidR="000446D8" w:rsidRPr="004729FF" w:rsidRDefault="00637DA4" w:rsidP="004729FF">
      <w:pPr>
        <w:pStyle w:val="aa"/>
        <w:numPr>
          <w:ilvl w:val="0"/>
          <w:numId w:val="4"/>
        </w:numPr>
        <w:spacing w:line="520" w:lineRule="exact"/>
        <w:ind w:firstLineChars="0"/>
        <w:rPr>
          <w:rFonts w:ascii="楷体_GB2312" w:eastAsia="楷体_GB2312" w:hAnsi="宋体" w:cs="宋体"/>
          <w:szCs w:val="21"/>
        </w:rPr>
      </w:pPr>
      <w:r w:rsidRPr="004729FF">
        <w:rPr>
          <w:rFonts w:ascii="楷体_GB2312" w:eastAsia="楷体_GB2312" w:hAnsi="宋体" w:cs="宋体" w:hint="eastAsia"/>
          <w:szCs w:val="21"/>
        </w:rPr>
        <w:t>李丽</w:t>
      </w:r>
      <w:r w:rsidR="00A72E3B">
        <w:rPr>
          <w:rFonts w:ascii="楷体_GB2312" w:eastAsia="楷体_GB2312" w:hAnsi="宋体" w:cs="宋体" w:hint="eastAsia"/>
          <w:szCs w:val="21"/>
        </w:rPr>
        <w:t>,</w:t>
      </w:r>
      <w:r w:rsidRPr="00A72E3B">
        <w:rPr>
          <w:rFonts w:ascii="楷体_GB2312" w:eastAsia="楷体_GB2312" w:hAnsi="宋体" w:cs="宋体" w:hint="eastAsia"/>
          <w:i/>
          <w:szCs w:val="21"/>
        </w:rPr>
        <w:t>乐当“皮格马利翁”谈“皮格马利翁”效应给中职英语教学的一点启发</w:t>
      </w:r>
      <w:r w:rsidR="00A72E3B">
        <w:rPr>
          <w:rFonts w:ascii="楷体_GB2312" w:eastAsia="楷体_GB2312" w:hAnsi="宋体" w:cs="宋体" w:hint="eastAsia"/>
          <w:szCs w:val="21"/>
        </w:rPr>
        <w:t>,</w:t>
      </w:r>
      <w:r w:rsidR="005E573D">
        <w:rPr>
          <w:rFonts w:ascii="楷体_GB2312" w:eastAsia="楷体_GB2312" w:hAnsi="宋体" w:cs="宋体" w:hint="eastAsia"/>
          <w:szCs w:val="21"/>
        </w:rPr>
        <w:t>2017.</w:t>
      </w:r>
    </w:p>
    <w:p w:rsidR="000446D8" w:rsidRPr="004729FF" w:rsidRDefault="00637DA4" w:rsidP="004729FF">
      <w:pPr>
        <w:pStyle w:val="aa"/>
        <w:numPr>
          <w:ilvl w:val="0"/>
          <w:numId w:val="4"/>
        </w:numPr>
        <w:spacing w:line="520" w:lineRule="exact"/>
        <w:ind w:firstLineChars="0"/>
        <w:rPr>
          <w:rFonts w:ascii="楷体_GB2312" w:eastAsia="楷体_GB2312" w:hAnsi="宋体" w:cs="宋体"/>
          <w:szCs w:val="21"/>
        </w:rPr>
      </w:pPr>
      <w:r w:rsidRPr="004729FF">
        <w:rPr>
          <w:rFonts w:ascii="楷体_GB2312" w:eastAsia="楷体_GB2312" w:hAnsi="宋体" w:cs="宋体" w:hint="eastAsia"/>
          <w:szCs w:val="21"/>
        </w:rPr>
        <w:t>王淑贤</w:t>
      </w:r>
      <w:r w:rsidR="00A72E3B">
        <w:rPr>
          <w:rFonts w:ascii="楷体_GB2312" w:eastAsia="楷体_GB2312" w:hAnsi="宋体" w:cs="宋体" w:hint="eastAsia"/>
          <w:szCs w:val="21"/>
        </w:rPr>
        <w:t>,</w:t>
      </w:r>
      <w:r w:rsidRPr="00A72E3B">
        <w:rPr>
          <w:rFonts w:ascii="楷体_GB2312" w:eastAsia="楷体_GB2312" w:hAnsi="宋体" w:cs="宋体" w:hint="eastAsia"/>
          <w:i/>
          <w:szCs w:val="21"/>
        </w:rPr>
        <w:t>利用皮格马利翁效应激起职中学生英语学习兴趣</w:t>
      </w:r>
      <w:r w:rsidR="00A72E3B">
        <w:rPr>
          <w:rFonts w:ascii="楷体_GB2312" w:eastAsia="楷体_GB2312" w:hAnsi="宋体" w:cs="宋体" w:hint="eastAsia"/>
          <w:szCs w:val="21"/>
        </w:rPr>
        <w:t>,</w:t>
      </w:r>
      <w:r w:rsidR="005E573D">
        <w:rPr>
          <w:rFonts w:ascii="楷体_GB2312" w:eastAsia="楷体_GB2312" w:hAnsi="宋体" w:cs="宋体" w:hint="eastAsia"/>
          <w:szCs w:val="21"/>
        </w:rPr>
        <w:t>2009.</w:t>
      </w:r>
    </w:p>
    <w:p w:rsidR="000446D8" w:rsidRPr="004729FF" w:rsidRDefault="00637DA4" w:rsidP="004729FF">
      <w:pPr>
        <w:pStyle w:val="aa"/>
        <w:numPr>
          <w:ilvl w:val="0"/>
          <w:numId w:val="4"/>
        </w:numPr>
        <w:spacing w:line="520" w:lineRule="exact"/>
        <w:ind w:firstLineChars="0"/>
        <w:rPr>
          <w:rFonts w:ascii="楷体_GB2312" w:eastAsia="楷体_GB2312" w:hAnsi="宋体" w:cs="宋体"/>
          <w:szCs w:val="21"/>
        </w:rPr>
      </w:pPr>
      <w:r w:rsidRPr="004729FF">
        <w:rPr>
          <w:rFonts w:ascii="楷体_GB2312" w:eastAsia="楷体_GB2312" w:hAnsi="宋体" w:cs="宋体" w:hint="eastAsia"/>
          <w:szCs w:val="21"/>
        </w:rPr>
        <w:lastRenderedPageBreak/>
        <w:t>饶小飞</w:t>
      </w:r>
      <w:r w:rsidR="00A72E3B">
        <w:rPr>
          <w:rFonts w:ascii="楷体_GB2312" w:eastAsia="楷体_GB2312" w:hAnsi="宋体" w:cs="宋体" w:hint="eastAsia"/>
          <w:szCs w:val="21"/>
        </w:rPr>
        <w:t>,</w:t>
      </w:r>
      <w:r w:rsidRPr="00A72E3B">
        <w:rPr>
          <w:rFonts w:ascii="楷体_GB2312" w:eastAsia="楷体_GB2312" w:hAnsi="宋体" w:cs="宋体" w:hint="eastAsia"/>
          <w:i/>
          <w:szCs w:val="21"/>
        </w:rPr>
        <w:t>皮格马利翁效应在大学英语听力教学形成性评价中的应用研究</w:t>
      </w:r>
      <w:r w:rsidR="00A72E3B">
        <w:rPr>
          <w:rFonts w:ascii="楷体_GB2312" w:eastAsia="楷体_GB2312" w:hAnsi="宋体" w:cs="宋体" w:hint="eastAsia"/>
          <w:szCs w:val="21"/>
        </w:rPr>
        <w:t>,</w:t>
      </w:r>
      <w:r w:rsidR="005E573D">
        <w:rPr>
          <w:rFonts w:ascii="楷体_GB2312" w:eastAsia="楷体_GB2312" w:hAnsi="宋体" w:cs="宋体" w:hint="eastAsia"/>
          <w:szCs w:val="21"/>
        </w:rPr>
        <w:t>2012.</w:t>
      </w:r>
    </w:p>
    <w:p w:rsidR="000446D8" w:rsidRPr="004729FF" w:rsidRDefault="00637DA4" w:rsidP="004729FF">
      <w:pPr>
        <w:pStyle w:val="aa"/>
        <w:numPr>
          <w:ilvl w:val="0"/>
          <w:numId w:val="4"/>
        </w:numPr>
        <w:spacing w:line="520" w:lineRule="exact"/>
        <w:ind w:firstLineChars="0"/>
        <w:rPr>
          <w:rFonts w:ascii="楷体_GB2312" w:eastAsia="楷体_GB2312" w:hAnsi="宋体" w:cs="宋体"/>
          <w:szCs w:val="21"/>
        </w:rPr>
      </w:pPr>
      <w:r w:rsidRPr="004729FF">
        <w:rPr>
          <w:rFonts w:ascii="楷体_GB2312" w:eastAsia="楷体_GB2312" w:hAnsi="宋体" w:cs="宋体" w:hint="eastAsia"/>
          <w:szCs w:val="21"/>
        </w:rPr>
        <w:t>杨琳</w:t>
      </w:r>
      <w:r w:rsidR="00A72E3B">
        <w:rPr>
          <w:rFonts w:ascii="楷体_GB2312" w:eastAsia="楷体_GB2312" w:hAnsi="宋体" w:cs="宋体" w:hint="eastAsia"/>
          <w:szCs w:val="21"/>
        </w:rPr>
        <w:t>,</w:t>
      </w:r>
      <w:r w:rsidRPr="00A72E3B">
        <w:rPr>
          <w:rFonts w:ascii="楷体_GB2312" w:eastAsia="楷体_GB2312" w:hAnsi="宋体" w:cs="宋体" w:hint="eastAsia"/>
          <w:i/>
          <w:szCs w:val="21"/>
        </w:rPr>
        <w:t>浅谈“皮格马利翁效应”在中职英语教学中的应用</w:t>
      </w:r>
      <w:r w:rsidR="00A72E3B">
        <w:rPr>
          <w:rFonts w:ascii="楷体_GB2312" w:eastAsia="楷体_GB2312" w:hAnsi="宋体" w:cs="宋体" w:hint="eastAsia"/>
          <w:szCs w:val="21"/>
        </w:rPr>
        <w:t>,</w:t>
      </w:r>
      <w:r w:rsidR="005E573D">
        <w:rPr>
          <w:rFonts w:ascii="楷体_GB2312" w:eastAsia="楷体_GB2312" w:hAnsi="宋体" w:cs="宋体" w:hint="eastAsia"/>
          <w:szCs w:val="21"/>
        </w:rPr>
        <w:t>2008.</w:t>
      </w:r>
    </w:p>
    <w:p w:rsidR="000446D8" w:rsidRPr="004729FF" w:rsidRDefault="00637DA4" w:rsidP="004729FF">
      <w:pPr>
        <w:pStyle w:val="aa"/>
        <w:numPr>
          <w:ilvl w:val="0"/>
          <w:numId w:val="4"/>
        </w:numPr>
        <w:spacing w:line="520" w:lineRule="exact"/>
        <w:ind w:firstLineChars="0"/>
        <w:rPr>
          <w:rFonts w:ascii="楷体_GB2312" w:eastAsia="楷体_GB2312" w:hAnsi="宋体" w:cs="宋体"/>
          <w:szCs w:val="21"/>
        </w:rPr>
      </w:pPr>
      <w:r w:rsidRPr="004729FF">
        <w:rPr>
          <w:rFonts w:ascii="楷体_GB2312" w:eastAsia="楷体_GB2312" w:hAnsi="宋体" w:cs="宋体" w:hint="eastAsia"/>
          <w:szCs w:val="21"/>
        </w:rPr>
        <w:t>苗琦</w:t>
      </w:r>
      <w:r w:rsidR="00A72E3B">
        <w:rPr>
          <w:rFonts w:ascii="楷体_GB2312" w:eastAsia="楷体_GB2312" w:hAnsi="宋体" w:cs="宋体" w:hint="eastAsia"/>
          <w:szCs w:val="21"/>
        </w:rPr>
        <w:t>,</w:t>
      </w:r>
      <w:r w:rsidRPr="00A72E3B">
        <w:rPr>
          <w:rFonts w:ascii="楷体_GB2312" w:eastAsia="楷体_GB2312" w:hAnsi="宋体" w:cs="宋体" w:hint="eastAsia"/>
          <w:i/>
          <w:szCs w:val="21"/>
        </w:rPr>
        <w:t>浅谈教师期望在大学英语听说课堂中的作用</w:t>
      </w:r>
      <w:r w:rsidR="00A72E3B">
        <w:rPr>
          <w:rFonts w:ascii="楷体_GB2312" w:eastAsia="楷体_GB2312" w:hAnsi="宋体" w:cs="宋体" w:hint="eastAsia"/>
          <w:szCs w:val="21"/>
        </w:rPr>
        <w:t>,</w:t>
      </w:r>
      <w:r w:rsidR="005E573D">
        <w:rPr>
          <w:rFonts w:ascii="楷体_GB2312" w:eastAsia="楷体_GB2312" w:hAnsi="宋体" w:cs="宋体" w:hint="eastAsia"/>
          <w:szCs w:val="21"/>
        </w:rPr>
        <w:t>2014.</w:t>
      </w:r>
    </w:p>
    <w:p w:rsidR="000446D8" w:rsidRPr="004729FF" w:rsidRDefault="00637DA4" w:rsidP="004729FF">
      <w:pPr>
        <w:pStyle w:val="aa"/>
        <w:numPr>
          <w:ilvl w:val="0"/>
          <w:numId w:val="4"/>
        </w:numPr>
        <w:spacing w:line="520" w:lineRule="exact"/>
        <w:ind w:firstLineChars="0"/>
        <w:rPr>
          <w:rFonts w:ascii="楷体_GB2312" w:eastAsia="楷体_GB2312"/>
          <w:szCs w:val="21"/>
        </w:rPr>
      </w:pPr>
      <w:r w:rsidRPr="004729FF">
        <w:rPr>
          <w:rFonts w:ascii="楷体_GB2312" w:eastAsia="楷体_GB2312" w:hAnsi="宋体" w:cs="宋体" w:hint="eastAsia"/>
          <w:szCs w:val="21"/>
        </w:rPr>
        <w:t>李云燕</w:t>
      </w:r>
      <w:r w:rsidR="00A72E3B">
        <w:rPr>
          <w:rFonts w:ascii="楷体_GB2312" w:eastAsia="楷体_GB2312" w:hAnsi="宋体" w:cs="宋体" w:hint="eastAsia"/>
          <w:szCs w:val="21"/>
        </w:rPr>
        <w:t>,</w:t>
      </w:r>
      <w:r w:rsidRPr="00A72E3B">
        <w:rPr>
          <w:rFonts w:ascii="楷体_GB2312" w:eastAsia="楷体_GB2312" w:hAnsi="宋体" w:cs="宋体" w:hint="eastAsia"/>
          <w:i/>
          <w:szCs w:val="21"/>
        </w:rPr>
        <w:t>赏识教育在中等职业学校英语教学中的应用</w:t>
      </w:r>
      <w:r w:rsidR="00A72E3B">
        <w:rPr>
          <w:rFonts w:ascii="楷体_GB2312" w:eastAsia="楷体_GB2312" w:hAnsi="宋体" w:cs="宋体" w:hint="eastAsia"/>
          <w:szCs w:val="21"/>
        </w:rPr>
        <w:t>,</w:t>
      </w:r>
      <w:r w:rsidR="005E573D">
        <w:rPr>
          <w:rFonts w:ascii="楷体_GB2312" w:eastAsia="楷体_GB2312" w:hAnsi="宋体" w:cs="宋体" w:hint="eastAsia"/>
          <w:szCs w:val="21"/>
        </w:rPr>
        <w:t>2007.</w:t>
      </w:r>
    </w:p>
    <w:sectPr w:rsidR="000446D8" w:rsidRPr="004729FF" w:rsidSect="007977C5">
      <w:pgSz w:w="11906" w:h="16838"/>
      <w:pgMar w:top="1418" w:right="141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FF8" w:rsidRDefault="00255FF8">
      <w:r>
        <w:separator/>
      </w:r>
    </w:p>
  </w:endnote>
  <w:endnote w:type="continuationSeparator" w:id="0">
    <w:p w:rsidR="00255FF8" w:rsidRDefault="0025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FF8" w:rsidRDefault="00255FF8">
      <w:r>
        <w:separator/>
      </w:r>
    </w:p>
  </w:footnote>
  <w:footnote w:type="continuationSeparator" w:id="0">
    <w:p w:rsidR="00255FF8" w:rsidRDefault="00255FF8">
      <w:r>
        <w:continuationSeparator/>
      </w:r>
    </w:p>
  </w:footnote>
  <w:footnote w:id="1">
    <w:p w:rsidR="000446D8" w:rsidRDefault="00637DA4">
      <w:pPr>
        <w:pStyle w:val="a5"/>
      </w:pPr>
      <w:r>
        <w:rPr>
          <w:rStyle w:val="a7"/>
        </w:rPr>
        <w:footnoteRef/>
      </w:r>
      <w:r>
        <w:t xml:space="preserve"> </w:t>
      </w:r>
      <w:r>
        <w:rPr>
          <w:rFonts w:hint="eastAsia"/>
        </w:rPr>
        <w:t>陆丽</w:t>
      </w:r>
      <w:r>
        <w:rPr>
          <w:rFonts w:hint="eastAsia"/>
        </w:rPr>
        <w:t>.</w:t>
      </w:r>
      <w:r>
        <w:rPr>
          <w:rFonts w:hint="eastAsia"/>
        </w:rPr>
        <w:t>“期望教育”的范式及应用研究</w:t>
      </w:r>
      <w:r>
        <w:rPr>
          <w:rFonts w:hint="eastAsia"/>
        </w:rPr>
        <w:t>[D].</w:t>
      </w:r>
      <w:r>
        <w:rPr>
          <w:rFonts w:hint="eastAsia"/>
        </w:rPr>
        <w:t>苏州：苏州大学</w:t>
      </w:r>
      <w:r>
        <w:rPr>
          <w:rFonts w:hint="eastAsia"/>
        </w:rPr>
        <w:t>,2003</w:t>
      </w:r>
      <w:r>
        <w:rPr>
          <w:rFonts w:hint="eastAsia"/>
        </w:rPr>
        <w:t>：</w:t>
      </w:r>
      <w:r>
        <w:rPr>
          <w:rFonts w:hint="eastAsia"/>
        </w:rPr>
        <w:t xml:space="preserve">2. </w:t>
      </w:r>
    </w:p>
  </w:footnote>
  <w:footnote w:id="2">
    <w:p w:rsidR="000446D8" w:rsidRDefault="00637DA4">
      <w:pPr>
        <w:pStyle w:val="a5"/>
      </w:pPr>
      <w:r>
        <w:rPr>
          <w:rStyle w:val="a7"/>
        </w:rPr>
        <w:footnoteRef/>
      </w:r>
      <w:r>
        <w:t xml:space="preserve"> </w:t>
      </w:r>
      <w:r>
        <w:rPr>
          <w:rFonts w:ascii="宋体" w:hAnsi="宋体" w:cs="宋体" w:hint="eastAsia"/>
          <w:szCs w:val="18"/>
        </w:rPr>
        <w:t>林小文.论</w:t>
      </w:r>
      <w:r>
        <w:rPr>
          <w:rFonts w:ascii="宋体" w:hAnsi="宋体" w:cs="宋体"/>
          <w:szCs w:val="18"/>
        </w:rPr>
        <w:t>“</w:t>
      </w:r>
      <w:r>
        <w:rPr>
          <w:rFonts w:ascii="宋体" w:hAnsi="宋体" w:cs="宋体" w:hint="eastAsia"/>
          <w:szCs w:val="18"/>
        </w:rPr>
        <w:t>罗森塔尔效应</w:t>
      </w:r>
      <w:r>
        <w:rPr>
          <w:rFonts w:ascii="宋体" w:hAnsi="宋体" w:cs="宋体"/>
          <w:szCs w:val="18"/>
        </w:rPr>
        <w:t>”</w:t>
      </w:r>
      <w:r>
        <w:rPr>
          <w:rFonts w:ascii="宋体" w:hAnsi="宋体" w:cs="宋体" w:hint="eastAsia"/>
          <w:szCs w:val="18"/>
        </w:rPr>
        <w:t>在高中思想政治课教学中的运用[J].山东：山东师范大学,2012</w:t>
      </w:r>
    </w:p>
  </w:footnote>
  <w:footnote w:id="3">
    <w:p w:rsidR="000446D8" w:rsidRDefault="00637DA4">
      <w:pPr>
        <w:pStyle w:val="a5"/>
      </w:pPr>
      <w:r>
        <w:rPr>
          <w:rStyle w:val="a7"/>
        </w:rPr>
        <w:footnoteRef/>
      </w:r>
      <w:r>
        <w:t xml:space="preserve"> </w:t>
      </w:r>
      <w:r>
        <w:rPr>
          <w:rFonts w:hint="eastAsia"/>
        </w:rPr>
        <w:t>陆丽</w:t>
      </w:r>
      <w:r>
        <w:rPr>
          <w:rFonts w:hint="eastAsia"/>
        </w:rPr>
        <w:t>.</w:t>
      </w:r>
      <w:r>
        <w:rPr>
          <w:rFonts w:hint="eastAsia"/>
        </w:rPr>
        <w:t>“期望教育”的范式及应用研究</w:t>
      </w:r>
      <w:r>
        <w:rPr>
          <w:rFonts w:hint="eastAsia"/>
        </w:rPr>
        <w:t>[D].</w:t>
      </w:r>
      <w:r>
        <w:rPr>
          <w:rFonts w:hint="eastAsia"/>
        </w:rPr>
        <w:t>苏州：苏州大学</w:t>
      </w:r>
      <w:r>
        <w:rPr>
          <w:rFonts w:hint="eastAsia"/>
        </w:rPr>
        <w:t>,2003</w:t>
      </w:r>
      <w:r>
        <w:rPr>
          <w:rFonts w:hint="eastAsia"/>
        </w:rPr>
        <w:t>：</w:t>
      </w:r>
      <w:r>
        <w:rPr>
          <w:rFonts w:hint="eastAsia"/>
        </w:rPr>
        <w:t xml:space="preserve">2. </w:t>
      </w:r>
    </w:p>
    <w:p w:rsidR="000446D8" w:rsidRDefault="000446D8">
      <w:pPr>
        <w:pStyle w:val="a5"/>
      </w:pPr>
    </w:p>
  </w:footnote>
  <w:footnote w:id="4">
    <w:p w:rsidR="000446D8" w:rsidRDefault="00637DA4">
      <w:pPr>
        <w:pStyle w:val="a5"/>
      </w:pPr>
      <w:r>
        <w:rPr>
          <w:rStyle w:val="a7"/>
        </w:rPr>
        <w:footnoteRef/>
      </w:r>
      <w:r>
        <w:t xml:space="preserve"> </w:t>
      </w:r>
      <w:r>
        <w:rPr>
          <w:rFonts w:hint="eastAsia"/>
        </w:rPr>
        <w:t>戴·冯塔纳著</w:t>
      </w:r>
      <w:r>
        <w:rPr>
          <w:rFonts w:hint="eastAsia"/>
        </w:rPr>
        <w:t>,</w:t>
      </w:r>
      <w:r>
        <w:rPr>
          <w:rFonts w:hint="eastAsia"/>
        </w:rPr>
        <w:t>王</w:t>
      </w:r>
      <w:proofErr w:type="gramStart"/>
      <w:r>
        <w:rPr>
          <w:rFonts w:hint="eastAsia"/>
        </w:rPr>
        <w:t>新超译</w:t>
      </w:r>
      <w:proofErr w:type="gramEnd"/>
      <w:r>
        <w:rPr>
          <w:rFonts w:hint="eastAsia"/>
        </w:rPr>
        <w:t>.</w:t>
      </w:r>
      <w:r>
        <w:rPr>
          <w:rFonts w:hint="eastAsia"/>
        </w:rPr>
        <w:t>《教师心理学》</w:t>
      </w:r>
      <w:r>
        <w:rPr>
          <w:rFonts w:hint="eastAsia"/>
        </w:rPr>
        <w:t>[M]</w:t>
      </w:r>
      <w:r>
        <w:rPr>
          <w:rFonts w:hint="eastAsia"/>
        </w:rPr>
        <w:t>北京</w:t>
      </w:r>
      <w:r>
        <w:rPr>
          <w:rFonts w:hint="eastAsia"/>
        </w:rPr>
        <w:t>:</w:t>
      </w:r>
      <w:r>
        <w:rPr>
          <w:rFonts w:hint="eastAsia"/>
        </w:rPr>
        <w:t>北京大学出版社</w:t>
      </w:r>
      <w:r>
        <w:rPr>
          <w:rFonts w:hint="eastAsia"/>
        </w:rPr>
        <w:t>,2000</w:t>
      </w:r>
    </w:p>
  </w:footnote>
  <w:footnote w:id="5">
    <w:p w:rsidR="000446D8" w:rsidRDefault="00637DA4">
      <w:pPr>
        <w:pStyle w:val="a5"/>
      </w:pPr>
      <w:r>
        <w:rPr>
          <w:rStyle w:val="a7"/>
        </w:rPr>
        <w:footnoteRef/>
      </w:r>
      <w:r>
        <w:t xml:space="preserve"> </w:t>
      </w:r>
      <w:proofErr w:type="spellStart"/>
      <w:r>
        <w:rPr>
          <w:rFonts w:hint="eastAsia"/>
        </w:rPr>
        <w:t>Skinner</w:t>
      </w:r>
      <w:proofErr w:type="gramStart"/>
      <w:r>
        <w:rPr>
          <w:rFonts w:hint="eastAsia"/>
        </w:rPr>
        <w:t>,B.F</w:t>
      </w:r>
      <w:proofErr w:type="spellEnd"/>
      <w:proofErr w:type="gramEnd"/>
      <w:r>
        <w:rPr>
          <w:rFonts w:hint="eastAsia"/>
        </w:rPr>
        <w:t xml:space="preserve">. </w:t>
      </w:r>
      <w:r>
        <w:rPr>
          <w:rFonts w:hint="eastAsia"/>
          <w:i/>
          <w:iCs/>
        </w:rPr>
        <w:t xml:space="preserve">The technology of </w:t>
      </w:r>
      <w:proofErr w:type="spellStart"/>
      <w:r>
        <w:rPr>
          <w:rFonts w:hint="eastAsia"/>
          <w:i/>
          <w:iCs/>
        </w:rPr>
        <w:t>teaching</w:t>
      </w:r>
      <w:r>
        <w:rPr>
          <w:rFonts w:hint="eastAsia"/>
        </w:rPr>
        <w:t>.Mew</w:t>
      </w:r>
      <w:proofErr w:type="spellEnd"/>
      <w:r>
        <w:rPr>
          <w:rFonts w:hint="eastAsia"/>
        </w:rPr>
        <w:t xml:space="preserve"> York</w:t>
      </w:r>
      <w:proofErr w:type="gramStart"/>
      <w:r>
        <w:rPr>
          <w:rFonts w:hint="eastAsia"/>
        </w:rPr>
        <w:t>:Appleton</w:t>
      </w:r>
      <w:proofErr w:type="gramEnd"/>
      <w:r>
        <w:rPr>
          <w:rFonts w:hint="eastAsia"/>
        </w:rPr>
        <w:t>-Centry-Crofts.1968.</w:t>
      </w:r>
    </w:p>
  </w:footnote>
  <w:footnote w:id="6">
    <w:p w:rsidR="000446D8" w:rsidRDefault="00637DA4">
      <w:pPr>
        <w:pStyle w:val="a5"/>
      </w:pPr>
      <w:r>
        <w:rPr>
          <w:rStyle w:val="a7"/>
        </w:rPr>
        <w:footnoteRef/>
      </w:r>
      <w:r>
        <w:t xml:space="preserve"> </w:t>
      </w:r>
      <w:proofErr w:type="spellStart"/>
      <w:r>
        <w:rPr>
          <w:rFonts w:hint="eastAsia"/>
        </w:rPr>
        <w:t>Maslow</w:t>
      </w:r>
      <w:proofErr w:type="gramStart"/>
      <w:r>
        <w:rPr>
          <w:rFonts w:hint="eastAsia"/>
        </w:rPr>
        <w:t>,A.H</w:t>
      </w:r>
      <w:proofErr w:type="spellEnd"/>
      <w:proofErr w:type="gramEnd"/>
      <w:r>
        <w:rPr>
          <w:rFonts w:hint="eastAsia"/>
        </w:rPr>
        <w:t xml:space="preserve">. </w:t>
      </w:r>
      <w:r>
        <w:rPr>
          <w:rFonts w:hint="eastAsia"/>
          <w:i/>
          <w:iCs/>
        </w:rPr>
        <w:t xml:space="preserve">Toward a psychology of </w:t>
      </w:r>
      <w:proofErr w:type="spellStart"/>
      <w:r>
        <w:rPr>
          <w:rFonts w:hint="eastAsia"/>
          <w:i/>
          <w:iCs/>
        </w:rPr>
        <w:t>being</w:t>
      </w:r>
      <w:r>
        <w:rPr>
          <w:rFonts w:hint="eastAsia"/>
        </w:rPr>
        <w:t>.New</w:t>
      </w:r>
      <w:proofErr w:type="spellEnd"/>
      <w:r>
        <w:rPr>
          <w:rFonts w:hint="eastAsia"/>
        </w:rPr>
        <w:t xml:space="preserve"> </w:t>
      </w:r>
      <w:proofErr w:type="spellStart"/>
      <w:r>
        <w:rPr>
          <w:rFonts w:hint="eastAsia"/>
        </w:rPr>
        <w:t>York:Van</w:t>
      </w:r>
      <w:proofErr w:type="spellEnd"/>
      <w:r>
        <w:rPr>
          <w:rFonts w:hint="eastAsia"/>
        </w:rPr>
        <w:t xml:space="preserve"> Nostrand.1968.</w:t>
      </w:r>
    </w:p>
  </w:footnote>
  <w:footnote w:id="7">
    <w:p w:rsidR="000446D8" w:rsidRPr="005C16AD" w:rsidRDefault="00637DA4">
      <w:pPr>
        <w:pStyle w:val="a5"/>
      </w:pPr>
      <w:r>
        <w:rPr>
          <w:rStyle w:val="a7"/>
        </w:rPr>
        <w:footnoteRef/>
      </w:r>
      <w:r>
        <w:t xml:space="preserve"> </w:t>
      </w:r>
      <w:r>
        <w:rPr>
          <w:rFonts w:hint="eastAsia"/>
        </w:rPr>
        <w:t>施良方</w:t>
      </w:r>
      <w:r>
        <w:rPr>
          <w:rFonts w:hint="eastAsia"/>
        </w:rPr>
        <w:t>,</w:t>
      </w:r>
      <w:r>
        <w:rPr>
          <w:rFonts w:hint="eastAsia"/>
        </w:rPr>
        <w:t>《学习论》</w:t>
      </w:r>
      <w:r>
        <w:rPr>
          <w:rFonts w:hint="eastAsia"/>
        </w:rPr>
        <w:t xml:space="preserve">, </w:t>
      </w:r>
      <w:r>
        <w:rPr>
          <w:rFonts w:hint="eastAsia"/>
        </w:rPr>
        <w:t>北京：人民教育出版社</w:t>
      </w:r>
      <w:r>
        <w:rPr>
          <w:rFonts w:hint="eastAsia"/>
        </w:rPr>
        <w:t>,1994:82</w:t>
      </w:r>
    </w:p>
  </w:footnote>
  <w:footnote w:id="8">
    <w:p w:rsidR="000446D8" w:rsidRDefault="00637DA4">
      <w:pPr>
        <w:pStyle w:val="a5"/>
      </w:pPr>
      <w:r>
        <w:rPr>
          <w:rStyle w:val="a7"/>
        </w:rPr>
        <w:footnoteRef/>
      </w:r>
      <w:r>
        <w:t xml:space="preserve"> </w:t>
      </w:r>
      <w:r>
        <w:rPr>
          <w:rFonts w:hint="eastAsia"/>
        </w:rPr>
        <w:t>崔学鸿</w:t>
      </w:r>
      <w:r>
        <w:rPr>
          <w:rFonts w:hint="eastAsia"/>
        </w:rPr>
        <w:t>,</w:t>
      </w:r>
      <w:r>
        <w:rPr>
          <w:rFonts w:hint="eastAsia"/>
        </w:rPr>
        <w:t>《赏识教育初论》</w:t>
      </w:r>
      <w:r>
        <w:rPr>
          <w:rFonts w:hint="eastAsia"/>
        </w:rPr>
        <w:t>[M],</w:t>
      </w:r>
      <w:r>
        <w:rPr>
          <w:rFonts w:hint="eastAsia"/>
        </w:rPr>
        <w:t>合肥</w:t>
      </w:r>
      <w:r>
        <w:rPr>
          <w:rFonts w:hint="eastAsia"/>
        </w:rPr>
        <w:t>:</w:t>
      </w:r>
      <w:r>
        <w:rPr>
          <w:rFonts w:hint="eastAsia"/>
        </w:rPr>
        <w:t>安徽大学出版社</w:t>
      </w:r>
      <w:r>
        <w:rPr>
          <w:rFonts w:hint="eastAsia"/>
        </w:rPr>
        <w:t>,2003</w:t>
      </w:r>
    </w:p>
  </w:footnote>
  <w:footnote w:id="9">
    <w:p w:rsidR="000446D8" w:rsidRDefault="00637DA4">
      <w:pPr>
        <w:pStyle w:val="a5"/>
      </w:pPr>
      <w:r>
        <w:rPr>
          <w:rStyle w:val="a7"/>
        </w:rPr>
        <w:footnoteRef/>
      </w:r>
      <w:r>
        <w:t xml:space="preserve"> </w:t>
      </w:r>
      <w:r>
        <w:rPr>
          <w:rFonts w:hint="eastAsia"/>
        </w:rPr>
        <w:t>崔学鸿</w:t>
      </w:r>
      <w:r>
        <w:rPr>
          <w:rFonts w:hint="eastAsia"/>
        </w:rPr>
        <w:t>,</w:t>
      </w:r>
      <w:r>
        <w:rPr>
          <w:rFonts w:hint="eastAsia"/>
        </w:rPr>
        <w:t>《赏识教育初论》</w:t>
      </w:r>
      <w:r>
        <w:rPr>
          <w:rFonts w:hint="eastAsia"/>
        </w:rPr>
        <w:t>[M],</w:t>
      </w:r>
      <w:r>
        <w:rPr>
          <w:rFonts w:hint="eastAsia"/>
        </w:rPr>
        <w:t>合肥</w:t>
      </w:r>
      <w:r>
        <w:rPr>
          <w:rFonts w:hint="eastAsia"/>
        </w:rPr>
        <w:t>:</w:t>
      </w:r>
      <w:r>
        <w:rPr>
          <w:rFonts w:hint="eastAsia"/>
        </w:rPr>
        <w:t>安徽大学出版社</w:t>
      </w:r>
      <w:r>
        <w:rPr>
          <w:rFonts w:hint="eastAsia"/>
        </w:rPr>
        <w:t>,2003</w:t>
      </w:r>
    </w:p>
    <w:p w:rsidR="000446D8" w:rsidRDefault="000446D8">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0A1"/>
    <w:multiLevelType w:val="hybridMultilevel"/>
    <w:tmpl w:val="88EC5776"/>
    <w:lvl w:ilvl="0" w:tplc="0984785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57624D5"/>
    <w:multiLevelType w:val="singleLevel"/>
    <w:tmpl w:val="59F313A8"/>
    <w:lvl w:ilvl="0">
      <w:start w:val="2"/>
      <w:numFmt w:val="decimal"/>
      <w:suff w:val="nothing"/>
      <w:lvlText w:val="%1、"/>
      <w:lvlJc w:val="left"/>
    </w:lvl>
  </w:abstractNum>
  <w:abstractNum w:abstractNumId="2">
    <w:nsid w:val="59EB19B5"/>
    <w:multiLevelType w:val="singleLevel"/>
    <w:tmpl w:val="59EB19B5"/>
    <w:lvl w:ilvl="0">
      <w:start w:val="1"/>
      <w:numFmt w:val="decimal"/>
      <w:suff w:val="nothing"/>
      <w:lvlText w:val="（%1）"/>
      <w:lvlJc w:val="left"/>
    </w:lvl>
  </w:abstractNum>
  <w:abstractNum w:abstractNumId="3">
    <w:nsid w:val="59F313A8"/>
    <w:multiLevelType w:val="singleLevel"/>
    <w:tmpl w:val="59F313A8"/>
    <w:lvl w:ilvl="0">
      <w:start w:val="2"/>
      <w:numFmt w:val="decimal"/>
      <w:suff w:val="nothing"/>
      <w:lvlText w:val="%1、"/>
      <w:lvlJc w:val="left"/>
    </w:lvl>
  </w:abstractNum>
  <w:abstractNum w:abstractNumId="4">
    <w:nsid w:val="5A0DA18E"/>
    <w:multiLevelType w:val="singleLevel"/>
    <w:tmpl w:val="5A0DA18E"/>
    <w:lvl w:ilvl="0">
      <w:start w:val="4"/>
      <w:numFmt w:val="decimal"/>
      <w:suff w:val="space"/>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71"/>
    <w:rsid w:val="00025519"/>
    <w:rsid w:val="00032D06"/>
    <w:rsid w:val="000446D8"/>
    <w:rsid w:val="000E6147"/>
    <w:rsid w:val="001623A5"/>
    <w:rsid w:val="00255FF8"/>
    <w:rsid w:val="00283CAD"/>
    <w:rsid w:val="002C07B0"/>
    <w:rsid w:val="002C7770"/>
    <w:rsid w:val="002E76D2"/>
    <w:rsid w:val="003319B7"/>
    <w:rsid w:val="004729FF"/>
    <w:rsid w:val="004C311B"/>
    <w:rsid w:val="005C16AD"/>
    <w:rsid w:val="005E573D"/>
    <w:rsid w:val="00626193"/>
    <w:rsid w:val="00637DA4"/>
    <w:rsid w:val="006F1E71"/>
    <w:rsid w:val="00724ABF"/>
    <w:rsid w:val="007977C5"/>
    <w:rsid w:val="007E2A37"/>
    <w:rsid w:val="007F6A59"/>
    <w:rsid w:val="008256DA"/>
    <w:rsid w:val="008D7BE2"/>
    <w:rsid w:val="008F4CD1"/>
    <w:rsid w:val="00995D70"/>
    <w:rsid w:val="009E7640"/>
    <w:rsid w:val="00A211DE"/>
    <w:rsid w:val="00A72E3B"/>
    <w:rsid w:val="00A77978"/>
    <w:rsid w:val="00B50F5E"/>
    <w:rsid w:val="00B66C44"/>
    <w:rsid w:val="00B85FA5"/>
    <w:rsid w:val="00BC0EAB"/>
    <w:rsid w:val="00C51E5C"/>
    <w:rsid w:val="00CB2CA2"/>
    <w:rsid w:val="00CB6D9D"/>
    <w:rsid w:val="00D04559"/>
    <w:rsid w:val="00DA188E"/>
    <w:rsid w:val="00F82A46"/>
    <w:rsid w:val="1AA93877"/>
    <w:rsid w:val="1EE95528"/>
    <w:rsid w:val="3BFC08C8"/>
    <w:rsid w:val="3C644198"/>
    <w:rsid w:val="47C60F2D"/>
    <w:rsid w:val="4B2D292E"/>
    <w:rsid w:val="53C0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lsdException w:name="caption" w:uiPriority="35" w:qFormat="1"/>
    <w:lsdException w:name="footnote reference" w:semiHidden="0" w:uiPriority="0" w:unhideWhenUsed="0"/>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uiPriority w:val="99"/>
    <w:unhideWhenUsed/>
    <w:qFormat/>
    <w:rPr>
      <w:sz w:val="18"/>
      <w:szCs w:val="18"/>
    </w:rPr>
  </w:style>
  <w:style w:type="paragraph" w:styleId="a5">
    <w:name w:val="footnote text"/>
    <w:basedOn w:val="a"/>
    <w:link w:val="Char1"/>
    <w:pPr>
      <w:snapToGrid w:val="0"/>
      <w:jc w:val="left"/>
    </w:pPr>
    <w:rPr>
      <w:sz w:val="18"/>
    </w:rPr>
  </w:style>
  <w:style w:type="character" w:styleId="a6">
    <w:name w:val="annotation reference"/>
    <w:basedOn w:val="a0"/>
    <w:rPr>
      <w:sz w:val="21"/>
      <w:szCs w:val="21"/>
    </w:rPr>
  </w:style>
  <w:style w:type="character" w:styleId="a7">
    <w:name w:val="footnote reference"/>
    <w:basedOn w:val="a0"/>
    <w:rPr>
      <w:vertAlign w:val="superscript"/>
    </w:rPr>
  </w:style>
  <w:style w:type="character" w:customStyle="1" w:styleId="Char">
    <w:name w:val="批注文字 Char"/>
    <w:basedOn w:val="a0"/>
    <w:link w:val="a3"/>
    <w:rPr>
      <w:rFonts w:ascii="Times New Roman" w:eastAsia="宋体" w:hAnsi="Times New Roman" w:cs="Times New Roman"/>
      <w:szCs w:val="24"/>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1">
    <w:name w:val="脚注文本 Char"/>
    <w:basedOn w:val="a0"/>
    <w:link w:val="a5"/>
    <w:rPr>
      <w:rFonts w:ascii="Times New Roman" w:eastAsia="宋体" w:hAnsi="Times New Roman" w:cs="Times New Roman"/>
      <w:sz w:val="18"/>
      <w:szCs w:val="24"/>
    </w:rPr>
  </w:style>
  <w:style w:type="paragraph" w:styleId="a8">
    <w:name w:val="header"/>
    <w:basedOn w:val="a"/>
    <w:link w:val="Char2"/>
    <w:uiPriority w:val="99"/>
    <w:unhideWhenUsed/>
    <w:rsid w:val="005C16A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5C16AD"/>
    <w:rPr>
      <w:rFonts w:ascii="Times New Roman" w:eastAsia="宋体" w:hAnsi="Times New Roman" w:cs="Times New Roman"/>
      <w:kern w:val="2"/>
      <w:sz w:val="18"/>
      <w:szCs w:val="18"/>
    </w:rPr>
  </w:style>
  <w:style w:type="paragraph" w:styleId="a9">
    <w:name w:val="footer"/>
    <w:basedOn w:val="a"/>
    <w:link w:val="Char3"/>
    <w:uiPriority w:val="99"/>
    <w:unhideWhenUsed/>
    <w:rsid w:val="005C16AD"/>
    <w:pPr>
      <w:tabs>
        <w:tab w:val="center" w:pos="4153"/>
        <w:tab w:val="right" w:pos="8306"/>
      </w:tabs>
      <w:snapToGrid w:val="0"/>
      <w:jc w:val="left"/>
    </w:pPr>
    <w:rPr>
      <w:sz w:val="18"/>
      <w:szCs w:val="18"/>
    </w:rPr>
  </w:style>
  <w:style w:type="character" w:customStyle="1" w:styleId="Char3">
    <w:name w:val="页脚 Char"/>
    <w:basedOn w:val="a0"/>
    <w:link w:val="a9"/>
    <w:uiPriority w:val="99"/>
    <w:rsid w:val="005C16AD"/>
    <w:rPr>
      <w:rFonts w:ascii="Times New Roman" w:eastAsia="宋体" w:hAnsi="Times New Roman" w:cs="Times New Roman"/>
      <w:kern w:val="2"/>
      <w:sz w:val="18"/>
      <w:szCs w:val="18"/>
    </w:rPr>
  </w:style>
  <w:style w:type="paragraph" w:styleId="aa">
    <w:name w:val="List Paragraph"/>
    <w:basedOn w:val="a"/>
    <w:uiPriority w:val="99"/>
    <w:unhideWhenUsed/>
    <w:rsid w:val="005C16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lsdException w:name="caption" w:uiPriority="35" w:qFormat="1"/>
    <w:lsdException w:name="footnote reference" w:semiHidden="0" w:uiPriority="0" w:unhideWhenUsed="0"/>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uiPriority w:val="99"/>
    <w:unhideWhenUsed/>
    <w:qFormat/>
    <w:rPr>
      <w:sz w:val="18"/>
      <w:szCs w:val="18"/>
    </w:rPr>
  </w:style>
  <w:style w:type="paragraph" w:styleId="a5">
    <w:name w:val="footnote text"/>
    <w:basedOn w:val="a"/>
    <w:link w:val="Char1"/>
    <w:pPr>
      <w:snapToGrid w:val="0"/>
      <w:jc w:val="left"/>
    </w:pPr>
    <w:rPr>
      <w:sz w:val="18"/>
    </w:rPr>
  </w:style>
  <w:style w:type="character" w:styleId="a6">
    <w:name w:val="annotation reference"/>
    <w:basedOn w:val="a0"/>
    <w:rPr>
      <w:sz w:val="21"/>
      <w:szCs w:val="21"/>
    </w:rPr>
  </w:style>
  <w:style w:type="character" w:styleId="a7">
    <w:name w:val="footnote reference"/>
    <w:basedOn w:val="a0"/>
    <w:rPr>
      <w:vertAlign w:val="superscript"/>
    </w:rPr>
  </w:style>
  <w:style w:type="character" w:customStyle="1" w:styleId="Char">
    <w:name w:val="批注文字 Char"/>
    <w:basedOn w:val="a0"/>
    <w:link w:val="a3"/>
    <w:rPr>
      <w:rFonts w:ascii="Times New Roman" w:eastAsia="宋体" w:hAnsi="Times New Roman" w:cs="Times New Roman"/>
      <w:szCs w:val="24"/>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1">
    <w:name w:val="脚注文本 Char"/>
    <w:basedOn w:val="a0"/>
    <w:link w:val="a5"/>
    <w:rPr>
      <w:rFonts w:ascii="Times New Roman" w:eastAsia="宋体" w:hAnsi="Times New Roman" w:cs="Times New Roman"/>
      <w:sz w:val="18"/>
      <w:szCs w:val="24"/>
    </w:rPr>
  </w:style>
  <w:style w:type="paragraph" w:styleId="a8">
    <w:name w:val="header"/>
    <w:basedOn w:val="a"/>
    <w:link w:val="Char2"/>
    <w:uiPriority w:val="99"/>
    <w:unhideWhenUsed/>
    <w:rsid w:val="005C16A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5C16AD"/>
    <w:rPr>
      <w:rFonts w:ascii="Times New Roman" w:eastAsia="宋体" w:hAnsi="Times New Roman" w:cs="Times New Roman"/>
      <w:kern w:val="2"/>
      <w:sz w:val="18"/>
      <w:szCs w:val="18"/>
    </w:rPr>
  </w:style>
  <w:style w:type="paragraph" w:styleId="a9">
    <w:name w:val="footer"/>
    <w:basedOn w:val="a"/>
    <w:link w:val="Char3"/>
    <w:uiPriority w:val="99"/>
    <w:unhideWhenUsed/>
    <w:rsid w:val="005C16AD"/>
    <w:pPr>
      <w:tabs>
        <w:tab w:val="center" w:pos="4153"/>
        <w:tab w:val="right" w:pos="8306"/>
      </w:tabs>
      <w:snapToGrid w:val="0"/>
      <w:jc w:val="left"/>
    </w:pPr>
    <w:rPr>
      <w:sz w:val="18"/>
      <w:szCs w:val="18"/>
    </w:rPr>
  </w:style>
  <w:style w:type="character" w:customStyle="1" w:styleId="Char3">
    <w:name w:val="页脚 Char"/>
    <w:basedOn w:val="a0"/>
    <w:link w:val="a9"/>
    <w:uiPriority w:val="99"/>
    <w:rsid w:val="005C16AD"/>
    <w:rPr>
      <w:rFonts w:ascii="Times New Roman" w:eastAsia="宋体" w:hAnsi="Times New Roman" w:cs="Times New Roman"/>
      <w:kern w:val="2"/>
      <w:sz w:val="18"/>
      <w:szCs w:val="18"/>
    </w:rPr>
  </w:style>
  <w:style w:type="paragraph" w:styleId="aa">
    <w:name w:val="List Paragraph"/>
    <w:basedOn w:val="a"/>
    <w:uiPriority w:val="99"/>
    <w:unhideWhenUsed/>
    <w:rsid w:val="005C16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06669">
      <w:bodyDiv w:val="1"/>
      <w:marLeft w:val="0"/>
      <w:marRight w:val="0"/>
      <w:marTop w:val="0"/>
      <w:marBottom w:val="0"/>
      <w:divBdr>
        <w:top w:val="none" w:sz="0" w:space="0" w:color="auto"/>
        <w:left w:val="none" w:sz="0" w:space="0" w:color="auto"/>
        <w:bottom w:val="none" w:sz="0" w:space="0" w:color="auto"/>
        <w:right w:val="none" w:sz="0" w:space="0" w:color="auto"/>
      </w:divBdr>
      <w:divsChild>
        <w:div w:id="881868940">
          <w:marLeft w:val="0"/>
          <w:marRight w:val="0"/>
          <w:marTop w:val="0"/>
          <w:marBottom w:val="0"/>
          <w:divBdr>
            <w:top w:val="none" w:sz="0" w:space="0" w:color="auto"/>
            <w:left w:val="none" w:sz="0" w:space="0" w:color="auto"/>
            <w:bottom w:val="none" w:sz="0" w:space="0" w:color="auto"/>
            <w:right w:val="none" w:sz="0" w:space="0" w:color="auto"/>
          </w:divBdr>
          <w:divsChild>
            <w:div w:id="415829264">
              <w:marLeft w:val="0"/>
              <w:marRight w:val="0"/>
              <w:marTop w:val="0"/>
              <w:marBottom w:val="0"/>
              <w:divBdr>
                <w:top w:val="none" w:sz="0" w:space="0" w:color="auto"/>
                <w:left w:val="none" w:sz="0" w:space="0" w:color="auto"/>
                <w:bottom w:val="none" w:sz="0" w:space="0" w:color="auto"/>
                <w:right w:val="none" w:sz="0" w:space="0" w:color="auto"/>
              </w:divBdr>
            </w:div>
            <w:div w:id="10341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aike.baidu.com/item/%E5%8A%B3%E5%8A%A8%E8%80%8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14</Pages>
  <Words>1609</Words>
  <Characters>9176</Characters>
  <Application>Microsoft Office Word</Application>
  <DocSecurity>0</DocSecurity>
  <Lines>76</Lines>
  <Paragraphs>21</Paragraphs>
  <ScaleCrop>false</ScaleCrop>
  <Company>微软中国</Company>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24</cp:revision>
  <dcterms:created xsi:type="dcterms:W3CDTF">2017-11-17T01:38:00Z</dcterms:created>
  <dcterms:modified xsi:type="dcterms:W3CDTF">2017-12-11T05:10:00Z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